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469" w:rsidRDefault="004B5469" w:rsidP="004B5469">
      <w:pPr>
        <w:pStyle w:val="Titre1"/>
        <w:spacing w:before="0" w:line="240" w:lineRule="auto"/>
        <w:jc w:val="both"/>
        <w:rPr>
          <w:i/>
        </w:rPr>
      </w:pPr>
      <w:r>
        <w:rPr>
          <w:i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91063B2" wp14:editId="24CD562B">
            <wp:simplePos x="0" y="0"/>
            <wp:positionH relativeFrom="margin">
              <wp:posOffset>5188585</wp:posOffset>
            </wp:positionH>
            <wp:positionV relativeFrom="margin">
              <wp:posOffset>-144780</wp:posOffset>
            </wp:positionV>
            <wp:extent cx="872490" cy="581660"/>
            <wp:effectExtent l="0" t="0" r="3810" b="889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veP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A6FCA80" wp14:editId="2DB87940">
            <wp:simplePos x="0" y="0"/>
            <wp:positionH relativeFrom="margin">
              <wp:posOffset>4355465</wp:posOffset>
            </wp:positionH>
            <wp:positionV relativeFrom="margin">
              <wp:posOffset>-119380</wp:posOffset>
            </wp:positionV>
            <wp:extent cx="712470" cy="49593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m3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4D9A" w:rsidRPr="002E4D9A">
        <w:rPr>
          <w:i/>
        </w:rPr>
        <w:t>PRISE DE NOTES</w:t>
      </w:r>
      <w:r>
        <w:rPr>
          <w:i/>
        </w:rPr>
        <w:t xml:space="preserve"> LIANA REUILLY </w:t>
      </w:r>
    </w:p>
    <w:p w:rsidR="00B00217" w:rsidRPr="00497C0C" w:rsidRDefault="00CF1765" w:rsidP="004B5469">
      <w:pPr>
        <w:pStyle w:val="Titre1"/>
        <w:spacing w:before="0" w:line="240" w:lineRule="auto"/>
        <w:jc w:val="both"/>
        <w:rPr>
          <w:i/>
        </w:rPr>
      </w:pPr>
      <w:r>
        <w:t>ATELIER</w:t>
      </w:r>
      <w:r w:rsidR="002E4D9A">
        <w:t xml:space="preserve"> : </w:t>
      </w:r>
      <w:r w:rsidR="00B00217">
        <w:t xml:space="preserve">MISE A JOUR DU DOCUMENT DU GRAIE « AIDE A LA REDACTION DU VOLET EFFLUENTS NON DOMESTIQUES DANS LES REGLEMENTS D’ASSAINISSEMENTS » </w:t>
      </w:r>
    </w:p>
    <w:p w:rsidR="00B00217" w:rsidRDefault="00B00217" w:rsidP="00B00217">
      <w:pPr>
        <w:pStyle w:val="Titre2"/>
      </w:pPr>
      <w:r>
        <w:t xml:space="preserve">Présents : </w:t>
      </w:r>
    </w:p>
    <w:p w:rsidR="00DC085D" w:rsidRDefault="00B00217" w:rsidP="00B00217">
      <w:r>
        <w:t xml:space="preserve">Liana </w:t>
      </w:r>
      <w:r w:rsidR="00DC085D">
        <w:t>REUILLY</w:t>
      </w:r>
      <w:r>
        <w:t xml:space="preserve"> (SM3A), Mathieu </w:t>
      </w:r>
      <w:r w:rsidR="00DC085D">
        <w:t>RONZE</w:t>
      </w:r>
      <w:r>
        <w:t xml:space="preserve"> </w:t>
      </w:r>
      <w:r w:rsidR="00DC085D">
        <w:t xml:space="preserve">(CC Pays de l’Arbresle), </w:t>
      </w:r>
      <w:r>
        <w:t xml:space="preserve">Bruno </w:t>
      </w:r>
      <w:r w:rsidR="00DC085D">
        <w:t>PERCHERON</w:t>
      </w:r>
      <w:r>
        <w:t xml:space="preserve"> (Suez), Raphaël </w:t>
      </w:r>
      <w:r w:rsidR="00DC085D">
        <w:t>BRAND</w:t>
      </w:r>
      <w:r>
        <w:t xml:space="preserve"> (Annemasse Agglo), Fabienne SERVETO (Agence de l’eau RMC</w:t>
      </w:r>
      <w:r w:rsidR="00ED113A">
        <w:t>), Gaelle Badoil (CA de l’Ouest Rhodanien).</w:t>
      </w:r>
      <w:bookmarkStart w:id="0" w:name="_GoBack"/>
      <w:bookmarkEnd w:id="0"/>
    </w:p>
    <w:p w:rsidR="00190C4E" w:rsidRDefault="00190C4E" w:rsidP="00DC085D">
      <w:pPr>
        <w:pStyle w:val="Titre2"/>
        <w:jc w:val="both"/>
      </w:pPr>
      <w:r>
        <w:t xml:space="preserve">Sujets de discussions et </w:t>
      </w:r>
      <w:r w:rsidR="00B8572B">
        <w:t>conclusions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90C4E" w:rsidTr="00190C4E">
        <w:tc>
          <w:tcPr>
            <w:tcW w:w="4606" w:type="dxa"/>
          </w:tcPr>
          <w:p w:rsidR="00190C4E" w:rsidRDefault="00190C4E" w:rsidP="00190C4E">
            <w:r>
              <w:t xml:space="preserve">Formule de calcul du coefficient de pollution </w:t>
            </w:r>
          </w:p>
        </w:tc>
        <w:tc>
          <w:tcPr>
            <w:tcW w:w="4606" w:type="dxa"/>
          </w:tcPr>
          <w:p w:rsidR="00190C4E" w:rsidRDefault="00B8572B" w:rsidP="00190C4E">
            <w:r>
              <w:t xml:space="preserve">Il </w:t>
            </w:r>
            <w:r w:rsidR="009A4281">
              <w:t xml:space="preserve">est important que la formule soit claire et qu’elle soit </w:t>
            </w:r>
            <w:r w:rsidR="00190C4E">
              <w:t xml:space="preserve">appliquée de façon </w:t>
            </w:r>
            <w:r>
              <w:t>équitable</w:t>
            </w:r>
            <w:r w:rsidR="00190C4E">
              <w:t xml:space="preserve"> </w:t>
            </w:r>
            <w:r w:rsidR="00796EBC">
              <w:t xml:space="preserve">au sein de la collectivité même s’il y a des adaptations pour </w:t>
            </w:r>
            <w:r w:rsidR="00190C4E">
              <w:t>chaque STEP</w:t>
            </w:r>
            <w:r w:rsidR="009A4281">
              <w:t xml:space="preserve">. </w:t>
            </w:r>
          </w:p>
          <w:p w:rsidR="009A4281" w:rsidRDefault="009A4281" w:rsidP="009A4281"/>
          <w:p w:rsidR="009A4281" w:rsidRDefault="00B8572B" w:rsidP="009A4281">
            <w:r>
              <w:t xml:space="preserve">La communication avec les élus est primordiale. Il </w:t>
            </w:r>
            <w:r w:rsidR="009A4281">
              <w:t xml:space="preserve">est </w:t>
            </w:r>
            <w:r w:rsidR="00497C0C">
              <w:t xml:space="preserve">notamment </w:t>
            </w:r>
            <w:r w:rsidR="009A4281">
              <w:t>important de</w:t>
            </w:r>
            <w:r>
              <w:t xml:space="preserve"> leur</w:t>
            </w:r>
            <w:r w:rsidR="009A4281">
              <w:t xml:space="preserve"> </w:t>
            </w:r>
            <w:r w:rsidR="002E4D9A">
              <w:t>expliquer</w:t>
            </w:r>
            <w:r w:rsidR="009A4281">
              <w:t xml:space="preserve"> </w:t>
            </w:r>
            <w:r w:rsidR="002E4D9A">
              <w:t>quel est l’intérêt d’appliquer un coeff de poll en leur présentant le gain financier</w:t>
            </w:r>
            <w:r>
              <w:t xml:space="preserve"> </w:t>
            </w:r>
            <w:r w:rsidR="002E4D9A">
              <w:t>par rapport aux</w:t>
            </w:r>
            <w:r>
              <w:t xml:space="preserve"> coûts d’investissements et de fonctionnements</w:t>
            </w:r>
            <w:r w:rsidR="002E4D9A">
              <w:t xml:space="preserve"> de la collectivité</w:t>
            </w:r>
            <w:r>
              <w:t>.</w:t>
            </w:r>
            <w:r w:rsidR="002E4D9A">
              <w:t xml:space="preserve"> Par ailleurs dans la formule il faut bien intégrer cette charge investissement/fonctionnement.  </w:t>
            </w:r>
          </w:p>
          <w:p w:rsidR="00190C4E" w:rsidRDefault="00190C4E" w:rsidP="00190C4E"/>
          <w:p w:rsidR="00190C4E" w:rsidRDefault="009A4281" w:rsidP="009A4281">
            <w:r>
              <w:t>Chaque collectivité a ses méthodes d’actualisat</w:t>
            </w:r>
            <w:r w:rsidR="00593ED9">
              <w:t>ion du coefficient. Ex : recalculer</w:t>
            </w:r>
            <w:r>
              <w:t xml:space="preserve"> sur la base des analyses n-1, 1 fois par an. </w:t>
            </w:r>
          </w:p>
          <w:p w:rsidR="00696A2F" w:rsidRDefault="00696A2F" w:rsidP="009A4281"/>
          <w:p w:rsidR="00696A2F" w:rsidRDefault="00696A2F" w:rsidP="00696A2F">
            <w:r>
              <w:t>Le seuil de déclanchement est décidé au sein de la collectivité</w:t>
            </w:r>
            <w:r>
              <w:sym w:font="Wingdings" w:char="F0E8"/>
            </w:r>
            <w:r>
              <w:t xml:space="preserve"> ex concentrations par temps sec en entrée de STEP. </w:t>
            </w:r>
          </w:p>
          <w:p w:rsidR="00F85F74" w:rsidRDefault="00F85F74" w:rsidP="00696A2F"/>
          <w:p w:rsidR="00F85F74" w:rsidRDefault="00F85F74" w:rsidP="002E58B8">
            <w:r>
              <w:t xml:space="preserve">Il faudrait parler de </w:t>
            </w:r>
            <w:r w:rsidR="002E58B8">
              <w:t>« </w:t>
            </w:r>
            <w:r>
              <w:t>formule d’assiette</w:t>
            </w:r>
            <w:r w:rsidR="002E58B8">
              <w:t> »</w:t>
            </w:r>
            <w:r>
              <w:t xml:space="preserve"> et pas de coefficient de pollution car ce dernier est juste le résultat d’une « formule d’assiette »</w:t>
            </w:r>
            <w:r w:rsidR="00E51422">
              <w:t xml:space="preserve">. Ce langage </w:t>
            </w:r>
            <w:r>
              <w:t xml:space="preserve">permet d’expliquer aux usagers qu’il y a une formule (pas obligatoire de la communiquer) </w:t>
            </w:r>
            <w:r w:rsidR="002E58B8">
              <w:t>intégrant</w:t>
            </w:r>
            <w:r w:rsidR="00E51422">
              <w:t xml:space="preserve"> plusieurs critères</w:t>
            </w:r>
            <w:r>
              <w:t xml:space="preserve"> (charge effluent, coûts de </w:t>
            </w:r>
            <w:r w:rsidR="00E51422">
              <w:t>gestion, fonctionnements et investissements</w:t>
            </w:r>
            <w:r w:rsidR="005A331B">
              <w:t>,</w:t>
            </w:r>
            <w:r>
              <w:t>…)</w:t>
            </w:r>
          </w:p>
        </w:tc>
      </w:tr>
      <w:tr w:rsidR="00190C4E" w:rsidTr="00190C4E">
        <w:tc>
          <w:tcPr>
            <w:tcW w:w="4606" w:type="dxa"/>
          </w:tcPr>
          <w:p w:rsidR="00190C4E" w:rsidRDefault="00190C4E" w:rsidP="00190C4E">
            <w:r>
              <w:t>Les paramètres et les seuils admissibles</w:t>
            </w:r>
          </w:p>
        </w:tc>
        <w:tc>
          <w:tcPr>
            <w:tcW w:w="4606" w:type="dxa"/>
          </w:tcPr>
          <w:p w:rsidR="00190C4E" w:rsidRDefault="00190C4E" w:rsidP="00190C4E">
            <w:r>
              <w:t xml:space="preserve">L’arrêté du 2 février 1998 a été </w:t>
            </w:r>
            <w:r w:rsidR="002E4D9A">
              <w:t xml:space="preserve">abrogé. Pas mal de changements. </w:t>
            </w:r>
          </w:p>
          <w:p w:rsidR="00A11F96" w:rsidRDefault="00A11F96" w:rsidP="00190C4E"/>
          <w:p w:rsidR="00F85F74" w:rsidRDefault="002E4D9A" w:rsidP="00190C4E">
            <w:r>
              <w:t xml:space="preserve">Les paramètres et les seuils de la fiche ne sont pas à jour. </w:t>
            </w:r>
          </w:p>
          <w:p w:rsidR="002E58B8" w:rsidRDefault="002E58B8" w:rsidP="00190C4E"/>
          <w:p w:rsidR="00F85F74" w:rsidRDefault="002E58B8" w:rsidP="00190C4E">
            <w:r>
              <w:t xml:space="preserve">Il n’est pas obligatoire </w:t>
            </w:r>
            <w:r w:rsidR="00F85F74">
              <w:t xml:space="preserve">d’utiliser les valeurs max. </w:t>
            </w:r>
          </w:p>
          <w:p w:rsidR="00F85F74" w:rsidRDefault="00F85F74" w:rsidP="00190C4E"/>
          <w:p w:rsidR="00F85F74" w:rsidRDefault="00F85F74" w:rsidP="00190C4E">
            <w:r>
              <w:lastRenderedPageBreak/>
              <w:t>Il n’y a plus de suivi sur les SEC.</w:t>
            </w:r>
          </w:p>
          <w:p w:rsidR="00F85F74" w:rsidRDefault="00F85F74" w:rsidP="00190C4E"/>
          <w:p w:rsidR="00F85F74" w:rsidRDefault="00F85F74" w:rsidP="00190C4E">
            <w:r>
              <w:t>Trop d’acronymes</w:t>
            </w:r>
            <w:r>
              <w:sym w:font="Wingdings" w:char="F0E8"/>
            </w:r>
            <w:r>
              <w:t xml:space="preserve"> peut-être incompréhensibles pour les débutants</w:t>
            </w:r>
          </w:p>
          <w:p w:rsidR="00190C4E" w:rsidRDefault="00F85F74" w:rsidP="00190C4E">
            <w:r>
              <w:t xml:space="preserve"> </w:t>
            </w:r>
          </w:p>
          <w:p w:rsidR="00190C4E" w:rsidRDefault="00A11F96" w:rsidP="00190C4E">
            <w:r>
              <w:t>Ils manquent les paramètres RSDE</w:t>
            </w:r>
            <w:r w:rsidR="002E58B8">
              <w:t>/pesticides </w:t>
            </w:r>
          </w:p>
        </w:tc>
      </w:tr>
      <w:tr w:rsidR="00190C4E" w:rsidTr="00190C4E">
        <w:tc>
          <w:tcPr>
            <w:tcW w:w="4606" w:type="dxa"/>
          </w:tcPr>
          <w:p w:rsidR="00190C4E" w:rsidRDefault="009A4281" w:rsidP="00190C4E">
            <w:r>
              <w:lastRenderedPageBreak/>
              <w:t>Eaux assimilées non domestiques</w:t>
            </w:r>
          </w:p>
        </w:tc>
        <w:tc>
          <w:tcPr>
            <w:tcW w:w="4606" w:type="dxa"/>
          </w:tcPr>
          <w:p w:rsidR="00A11F96" w:rsidRDefault="009A4281" w:rsidP="00696A2F">
            <w:r>
              <w:t>Il n’est pas possible d’appliq</w:t>
            </w:r>
            <w:r w:rsidR="000E2A22">
              <w:t xml:space="preserve">uer le coefficient de pollution. </w:t>
            </w:r>
          </w:p>
          <w:p w:rsidR="00A11F96" w:rsidRDefault="00A11F96" w:rsidP="00696A2F"/>
          <w:p w:rsidR="00190C4E" w:rsidRDefault="000E2A22" w:rsidP="00696A2F">
            <w:r>
              <w:t xml:space="preserve">Il est possible de mettre en place une attestation de rejet mais pas </w:t>
            </w:r>
            <w:r w:rsidR="00F85F74">
              <w:t>d’</w:t>
            </w:r>
            <w:r>
              <w:t>autorisation (ce n’est plus légal)</w:t>
            </w:r>
          </w:p>
        </w:tc>
      </w:tr>
      <w:tr w:rsidR="00190C4E" w:rsidTr="00190C4E">
        <w:tc>
          <w:tcPr>
            <w:tcW w:w="4606" w:type="dxa"/>
          </w:tcPr>
          <w:p w:rsidR="00190C4E" w:rsidRDefault="00696A2F" w:rsidP="00190C4E">
            <w:r>
              <w:t>Arrêté, convention, attestation autorisation…</w:t>
            </w:r>
          </w:p>
        </w:tc>
        <w:tc>
          <w:tcPr>
            <w:tcW w:w="4606" w:type="dxa"/>
          </w:tcPr>
          <w:p w:rsidR="00190C4E" w:rsidRDefault="00696A2F" w:rsidP="00190C4E">
            <w:r>
              <w:t>L’arrêté est règlementaire mais il n’y a pas de pénalités possibles. C’est un doc obligatoire. La convention (en plus de l’arrêté, généralement établi pour des flux plus imp) a l’avantage de pouvoir appliquer des pénalités</w:t>
            </w:r>
            <w:r w:rsidR="008C3A99">
              <w:t>. Les deux peuvent être stipulés sur la base des analyses réalisées</w:t>
            </w:r>
            <w:r>
              <w:t xml:space="preserve"> </w:t>
            </w:r>
          </w:p>
        </w:tc>
      </w:tr>
      <w:tr w:rsidR="00190C4E" w:rsidTr="00190C4E">
        <w:tc>
          <w:tcPr>
            <w:tcW w:w="4606" w:type="dxa"/>
          </w:tcPr>
          <w:p w:rsidR="00190C4E" w:rsidRDefault="008C3A99" w:rsidP="00190C4E">
            <w:r>
              <w:t>Assermentation</w:t>
            </w:r>
          </w:p>
        </w:tc>
        <w:tc>
          <w:tcPr>
            <w:tcW w:w="4606" w:type="dxa"/>
          </w:tcPr>
          <w:p w:rsidR="00190C4E" w:rsidRDefault="008C3A99" w:rsidP="00F85F74">
            <w:r>
              <w:t xml:space="preserve">Plus possible pour les agents </w:t>
            </w:r>
          </w:p>
        </w:tc>
      </w:tr>
      <w:tr w:rsidR="00190C4E" w:rsidTr="00190C4E">
        <w:tc>
          <w:tcPr>
            <w:tcW w:w="4606" w:type="dxa"/>
          </w:tcPr>
          <w:p w:rsidR="00190C4E" w:rsidRDefault="00F85F74" w:rsidP="00190C4E">
            <w:r>
              <w:t>Coefficient de dégressivité</w:t>
            </w:r>
          </w:p>
        </w:tc>
        <w:tc>
          <w:tcPr>
            <w:tcW w:w="4606" w:type="dxa"/>
          </w:tcPr>
          <w:p w:rsidR="00A11F96" w:rsidRDefault="00F85F74" w:rsidP="00190C4E">
            <w:r>
              <w:t xml:space="preserve">Il a été supprimé dans les textes le 13 mars 2000. </w:t>
            </w:r>
          </w:p>
          <w:p w:rsidR="00A11F96" w:rsidRDefault="00A11F96" w:rsidP="00190C4E"/>
          <w:p w:rsidR="00190C4E" w:rsidRDefault="00F85F74" w:rsidP="00190C4E">
            <w:r>
              <w:t xml:space="preserve">Il faudrait peut-être inciter les collectivités à respecter la loi. </w:t>
            </w:r>
          </w:p>
        </w:tc>
      </w:tr>
      <w:tr w:rsidR="00190C4E" w:rsidTr="00190C4E">
        <w:tc>
          <w:tcPr>
            <w:tcW w:w="4606" w:type="dxa"/>
          </w:tcPr>
          <w:p w:rsidR="00190C4E" w:rsidRDefault="005A331B" w:rsidP="00190C4E">
            <w:r>
              <w:t>Pénalités</w:t>
            </w:r>
          </w:p>
        </w:tc>
        <w:tc>
          <w:tcPr>
            <w:tcW w:w="4606" w:type="dxa"/>
          </w:tcPr>
          <w:p w:rsidR="00190C4E" w:rsidRDefault="005A331B" w:rsidP="00190C4E">
            <w:r>
              <w:t xml:space="preserve">Parfois incitatives pour certains usagers. </w:t>
            </w:r>
          </w:p>
          <w:p w:rsidR="00A11F96" w:rsidRDefault="00A11F96" w:rsidP="00190C4E"/>
          <w:p w:rsidR="005A331B" w:rsidRDefault="005A331B" w:rsidP="00190C4E">
            <w:r>
              <w:t>Il est très important de lire la convention avec les industriels pour leur expliquer les tenants et les aboutissants</w:t>
            </w:r>
            <w:r w:rsidR="002E58B8">
              <w:t xml:space="preserve"> du contrat</w:t>
            </w:r>
            <w:r>
              <w:t xml:space="preserve">. </w:t>
            </w:r>
          </w:p>
          <w:p w:rsidR="00A11F96" w:rsidRDefault="00A11F96" w:rsidP="00190C4E"/>
          <w:p w:rsidR="005A331B" w:rsidRDefault="005A331B" w:rsidP="00190C4E">
            <w:r>
              <w:t xml:space="preserve">Ce serait peut-être pertinent de mettre des exemples dans la fiche </w:t>
            </w:r>
          </w:p>
          <w:p w:rsidR="00657690" w:rsidRDefault="00657690" w:rsidP="00190C4E"/>
          <w:p w:rsidR="00657690" w:rsidRDefault="00657690" w:rsidP="00190C4E">
            <w:r>
              <w:t xml:space="preserve">Le coefficient de conformité est souvent appliqué par une pénalité. </w:t>
            </w:r>
          </w:p>
          <w:p w:rsidR="00657690" w:rsidRDefault="00657690" w:rsidP="00190C4E"/>
          <w:p w:rsidR="00657690" w:rsidRDefault="00657690" w:rsidP="00657690">
            <w:r>
              <w:t>Pour bien souligner le problème, il est convenable d’émettre une facture à part pour les pénalités.</w:t>
            </w:r>
          </w:p>
        </w:tc>
      </w:tr>
      <w:tr w:rsidR="005A331B" w:rsidTr="00190C4E">
        <w:tc>
          <w:tcPr>
            <w:tcW w:w="4606" w:type="dxa"/>
          </w:tcPr>
          <w:p w:rsidR="005A331B" w:rsidRDefault="005A331B" w:rsidP="00190C4E">
            <w:r>
              <w:t>Exemples</w:t>
            </w:r>
          </w:p>
        </w:tc>
        <w:tc>
          <w:tcPr>
            <w:tcW w:w="4606" w:type="dxa"/>
          </w:tcPr>
          <w:p w:rsidR="005A331B" w:rsidRDefault="005A331B" w:rsidP="00190C4E">
            <w:r>
              <w:t>A mettre à jour</w:t>
            </w:r>
          </w:p>
          <w:p w:rsidR="00A11F96" w:rsidRDefault="00A11F96" w:rsidP="005A331B"/>
          <w:p w:rsidR="005A331B" w:rsidRDefault="005A331B" w:rsidP="005A331B">
            <w:r>
              <w:t>Ce serait intéressant d’ajouter 1 ou 2 exemples de petites collectivités pour montrer que l’application d’un coeff de pollution est possible</w:t>
            </w:r>
            <w:r w:rsidR="002E58B8">
              <w:t xml:space="preserve"> aussi </w:t>
            </w:r>
            <w:r>
              <w:t xml:space="preserve"> par des collectivités à taille modeste souvent situées sur des territoires plus agricoles avec des petites STEP </w:t>
            </w:r>
          </w:p>
        </w:tc>
      </w:tr>
    </w:tbl>
    <w:p w:rsidR="00DC085D" w:rsidRDefault="005A331B" w:rsidP="00DC085D">
      <w:pPr>
        <w:pStyle w:val="Titre2"/>
        <w:jc w:val="both"/>
      </w:pPr>
      <w:r>
        <w:lastRenderedPageBreak/>
        <w:t>Résumé des m</w:t>
      </w:r>
      <w:r w:rsidR="008D17F1">
        <w:t>odifications à apporter</w:t>
      </w:r>
      <w:r w:rsidR="00DC085D">
        <w:t xml:space="preserve"> sur la base d’une lecture en diagonal du document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C085D" w:rsidTr="00DC085D">
        <w:tc>
          <w:tcPr>
            <w:tcW w:w="4606" w:type="dxa"/>
          </w:tcPr>
          <w:p w:rsidR="002A508D" w:rsidRDefault="002A508D" w:rsidP="002A508D">
            <w:r>
              <w:t>A modifier </w:t>
            </w:r>
            <w:r w:rsidR="00062452">
              <w:t>sur le plan règlementaire</w:t>
            </w:r>
            <w:r>
              <w:t xml:space="preserve">: </w:t>
            </w:r>
          </w:p>
          <w:p w:rsidR="00DC085D" w:rsidRDefault="00DC085D" w:rsidP="00B00217"/>
        </w:tc>
        <w:tc>
          <w:tcPr>
            <w:tcW w:w="4606" w:type="dxa"/>
          </w:tcPr>
          <w:p w:rsidR="00DC085D" w:rsidRDefault="008D17F1" w:rsidP="002A508D">
            <w:pPr>
              <w:pStyle w:val="Paragraphedeliste"/>
              <w:numPr>
                <w:ilvl w:val="0"/>
                <w:numId w:val="2"/>
              </w:numPr>
            </w:pPr>
            <w:r>
              <w:t>L’arrêté du 2 février 1998</w:t>
            </w:r>
            <w:r w:rsidR="002A508D">
              <w:t> </w:t>
            </w:r>
            <w:r w:rsidR="002A508D">
              <w:sym w:font="Wingdings" w:char="F0E8"/>
            </w:r>
            <w:r w:rsidR="002A508D">
              <w:t xml:space="preserve"> version abrogé</w:t>
            </w:r>
            <w:r w:rsidR="00062452">
              <w:t>e</w:t>
            </w:r>
            <w:r w:rsidR="002A508D">
              <w:t xml:space="preserve"> </w:t>
            </w:r>
          </w:p>
          <w:p w:rsidR="002A508D" w:rsidRDefault="002A508D" w:rsidP="002A508D">
            <w:pPr>
              <w:pStyle w:val="Paragraphedeliste"/>
              <w:numPr>
                <w:ilvl w:val="0"/>
                <w:numId w:val="2"/>
              </w:numPr>
            </w:pPr>
            <w:r>
              <w:t>Arrêté du 22 juin 2007</w:t>
            </w:r>
            <w:r>
              <w:sym w:font="Wingdings" w:char="F0E8"/>
            </w:r>
            <w:r>
              <w:t xml:space="preserve"> version abrogé</w:t>
            </w:r>
            <w:r w:rsidR="00062452">
              <w:t>e</w:t>
            </w:r>
          </w:p>
          <w:p w:rsidR="002A508D" w:rsidRDefault="002A508D" w:rsidP="002A508D">
            <w:pPr>
              <w:pStyle w:val="Paragraphedeliste"/>
            </w:pPr>
          </w:p>
        </w:tc>
      </w:tr>
      <w:tr w:rsidR="00DC085D" w:rsidTr="00DC085D">
        <w:tc>
          <w:tcPr>
            <w:tcW w:w="4606" w:type="dxa"/>
          </w:tcPr>
          <w:p w:rsidR="00DC085D" w:rsidRDefault="00062452" w:rsidP="00B00217">
            <w:r>
              <w:t>A modifier s</w:t>
            </w:r>
            <w:r w:rsidR="008D17F1">
              <w:t>ur le plan technique</w:t>
            </w:r>
          </w:p>
        </w:tc>
        <w:tc>
          <w:tcPr>
            <w:tcW w:w="4606" w:type="dxa"/>
          </w:tcPr>
          <w:p w:rsidR="008D17F1" w:rsidRDefault="008D17F1" w:rsidP="00062452">
            <w:pPr>
              <w:pStyle w:val="Paragraphedeliste"/>
              <w:numPr>
                <w:ilvl w:val="0"/>
                <w:numId w:val="4"/>
              </w:numPr>
            </w:pPr>
            <w:r>
              <w:t>Les paramètres suivis et les valeurs admissibles  de rejets EU</w:t>
            </w:r>
            <w:r w:rsidR="002A508D">
              <w:t>, exemple :</w:t>
            </w:r>
          </w:p>
          <w:p w:rsidR="008D17F1" w:rsidRDefault="002A508D" w:rsidP="008D17F1">
            <w:pPr>
              <w:pStyle w:val="Paragraphedeliste"/>
              <w:numPr>
                <w:ilvl w:val="0"/>
                <w:numId w:val="1"/>
              </w:numPr>
            </w:pPr>
            <w:r>
              <w:t>SEC plus utilisé</w:t>
            </w:r>
          </w:p>
          <w:p w:rsidR="00062452" w:rsidRDefault="002A508D" w:rsidP="00062452">
            <w:pPr>
              <w:pStyle w:val="Paragraphedeliste"/>
              <w:numPr>
                <w:ilvl w:val="0"/>
                <w:numId w:val="1"/>
              </w:numPr>
            </w:pPr>
            <w:r>
              <w:t>Metox</w:t>
            </w:r>
            <w:r w:rsidR="00062452">
              <w:t> ? plutôt métaux avec liste ?</w:t>
            </w:r>
          </w:p>
          <w:p w:rsidR="00062452" w:rsidRDefault="00062452" w:rsidP="00062452">
            <w:pPr>
              <w:pStyle w:val="Paragraphedeliste"/>
              <w:numPr>
                <w:ilvl w:val="0"/>
                <w:numId w:val="1"/>
              </w:numPr>
              <w:ind w:left="356"/>
            </w:pPr>
            <w:r>
              <w:t>La définition de coefficient de pollution (en lien avec la « formule d’assiette »</w:t>
            </w:r>
          </w:p>
          <w:p w:rsidR="00407402" w:rsidRDefault="00407402" w:rsidP="00062452">
            <w:pPr>
              <w:pStyle w:val="Paragraphedeliste"/>
              <w:numPr>
                <w:ilvl w:val="0"/>
                <w:numId w:val="1"/>
              </w:numPr>
              <w:ind w:left="356"/>
            </w:pPr>
            <w:r>
              <w:t>Les règlements d’assainissement présentés en exemples si mise à jour</w:t>
            </w:r>
          </w:p>
          <w:p w:rsidR="000E2A22" w:rsidRDefault="00407402" w:rsidP="00062452">
            <w:pPr>
              <w:pStyle w:val="Paragraphedeliste"/>
              <w:numPr>
                <w:ilvl w:val="0"/>
                <w:numId w:val="1"/>
              </w:numPr>
              <w:ind w:left="356"/>
            </w:pPr>
            <w:r>
              <w:t>La définition de coefficient de dégressivité en incitant les collectivités à le supprimer</w:t>
            </w:r>
          </w:p>
          <w:p w:rsidR="00407402" w:rsidRDefault="000E2A22" w:rsidP="00FD0E07">
            <w:pPr>
              <w:pStyle w:val="Paragraphedeliste"/>
              <w:numPr>
                <w:ilvl w:val="0"/>
                <w:numId w:val="1"/>
              </w:numPr>
              <w:ind w:left="356"/>
            </w:pPr>
            <w:r>
              <w:t>Supprimer « </w:t>
            </w:r>
            <w:r w:rsidR="00FD0E07">
              <w:t>autorisation</w:t>
            </w:r>
            <w:r>
              <w:t xml:space="preserve"> de rejet » pour les eaux assimilées domestiques </w:t>
            </w:r>
            <w:r w:rsidR="00407402">
              <w:t xml:space="preserve"> </w:t>
            </w:r>
          </w:p>
        </w:tc>
      </w:tr>
      <w:tr w:rsidR="00DC085D" w:rsidTr="00DC085D">
        <w:tc>
          <w:tcPr>
            <w:tcW w:w="4606" w:type="dxa"/>
          </w:tcPr>
          <w:p w:rsidR="00DC085D" w:rsidRDefault="00062452" w:rsidP="00B00217">
            <w:r>
              <w:t>A ajouter :</w:t>
            </w:r>
          </w:p>
        </w:tc>
        <w:tc>
          <w:tcPr>
            <w:tcW w:w="4606" w:type="dxa"/>
          </w:tcPr>
          <w:p w:rsidR="00DC085D" w:rsidRDefault="00062452" w:rsidP="00062452">
            <w:pPr>
              <w:pStyle w:val="Paragraphedeliste"/>
              <w:numPr>
                <w:ilvl w:val="0"/>
                <w:numId w:val="3"/>
              </w:numPr>
            </w:pPr>
            <w:r>
              <w:t>Une page avec les acronymes et leurs définitions</w:t>
            </w:r>
          </w:p>
          <w:p w:rsidR="00062452" w:rsidRDefault="00062452" w:rsidP="00062452">
            <w:pPr>
              <w:pStyle w:val="Paragraphedeliste"/>
              <w:numPr>
                <w:ilvl w:val="0"/>
                <w:numId w:val="3"/>
              </w:numPr>
            </w:pPr>
            <w:r>
              <w:t xml:space="preserve">La définition de « formule d’assiette » </w:t>
            </w:r>
          </w:p>
          <w:p w:rsidR="00062452" w:rsidRDefault="00062452" w:rsidP="00062452">
            <w:pPr>
              <w:pStyle w:val="Paragraphedeliste"/>
              <w:numPr>
                <w:ilvl w:val="0"/>
                <w:numId w:val="3"/>
              </w:numPr>
            </w:pPr>
            <w:r>
              <w:t>La l</w:t>
            </w:r>
            <w:r w:rsidR="00407402">
              <w:t xml:space="preserve">iste </w:t>
            </w:r>
            <w:r>
              <w:t>de paramètres ou de familles RSDE en annexe ?</w:t>
            </w:r>
          </w:p>
          <w:p w:rsidR="00062452" w:rsidRDefault="00190C4E" w:rsidP="00062452">
            <w:pPr>
              <w:pStyle w:val="Paragraphedeliste"/>
              <w:numPr>
                <w:ilvl w:val="0"/>
                <w:numId w:val="3"/>
              </w:numPr>
            </w:pPr>
            <w:r>
              <w:t xml:space="preserve">Exemples (1 ou 2) de règlements </w:t>
            </w:r>
            <w:r w:rsidR="00407402">
              <w:t>d’assainissement de petites collectivités</w:t>
            </w:r>
          </w:p>
        </w:tc>
      </w:tr>
    </w:tbl>
    <w:p w:rsidR="00DC085D" w:rsidRDefault="00DC085D" w:rsidP="00B00217"/>
    <w:p w:rsidR="00DC085D" w:rsidRDefault="00DC085D" w:rsidP="00DC085D">
      <w:pPr>
        <w:pStyle w:val="Titre2"/>
      </w:pPr>
      <w:r>
        <w:t xml:space="preserve">Conclusions </w:t>
      </w:r>
    </w:p>
    <w:p w:rsidR="004B5469" w:rsidRDefault="004B5469" w:rsidP="004B5469">
      <w:r>
        <w:t xml:space="preserve">Pour pouvoir mettre à jour le document il faudrait </w:t>
      </w:r>
      <w:r w:rsidR="002E58B8">
        <w:t>demander à</w:t>
      </w:r>
      <w:r>
        <w:t xml:space="preserve"> un groupe de travail restreint </w:t>
      </w:r>
      <w:r w:rsidR="002E58B8">
        <w:t>d’analyser le</w:t>
      </w:r>
      <w:r w:rsidR="00190C4E">
        <w:t xml:space="preserve"> texte plus </w:t>
      </w:r>
      <w:r w:rsidR="002E58B8">
        <w:t>en détail</w:t>
      </w:r>
      <w:r w:rsidR="00190C4E">
        <w:t xml:space="preserve"> </w:t>
      </w:r>
      <w:r w:rsidR="002E58B8">
        <w:t>et apporter</w:t>
      </w:r>
      <w:r>
        <w:t xml:space="preserve"> les modifications nécessaires. </w:t>
      </w:r>
      <w:r w:rsidR="00DC085D">
        <w:t xml:space="preserve"> </w:t>
      </w:r>
      <w:r w:rsidR="00AB1391">
        <w:t xml:space="preserve">Il faudrait aussi demander aux collectivités concernées de mettre à jour leurs exemples. </w:t>
      </w:r>
    </w:p>
    <w:p w:rsidR="003B1FF2" w:rsidRPr="00B00217" w:rsidRDefault="003B1FF2" w:rsidP="00B00217"/>
    <w:sectPr w:rsidR="003B1FF2" w:rsidRPr="00B00217" w:rsidSect="004B5469">
      <w:headerReference w:type="default" r:id="rId10"/>
      <w:footerReference w:type="default" r:id="rId11"/>
      <w:pgSz w:w="11906" w:h="16838"/>
      <w:pgMar w:top="1417" w:right="1417" w:bottom="1417" w:left="1417" w:header="708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DFA" w:rsidRDefault="00446DFA" w:rsidP="00B00217">
      <w:pPr>
        <w:spacing w:after="0" w:line="240" w:lineRule="auto"/>
      </w:pPr>
      <w:r>
        <w:separator/>
      </w:r>
    </w:p>
  </w:endnote>
  <w:endnote w:type="continuationSeparator" w:id="0">
    <w:p w:rsidR="00446DFA" w:rsidRDefault="00446DFA" w:rsidP="00B00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5"/>
    </w:tblGrid>
    <w:tr w:rsidR="004B5469">
      <w:tc>
        <w:tcPr>
          <w:tcW w:w="918" w:type="dxa"/>
        </w:tcPr>
        <w:p w:rsidR="004B5469" w:rsidRDefault="004B5469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ED113A" w:rsidRPr="00ED113A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4B5469" w:rsidRDefault="004B5469">
          <w:pPr>
            <w:pStyle w:val="Pieddepage"/>
          </w:pPr>
        </w:p>
      </w:tc>
    </w:tr>
  </w:tbl>
  <w:p w:rsidR="004B5469" w:rsidRDefault="004B54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DFA" w:rsidRDefault="00446DFA" w:rsidP="00B00217">
      <w:pPr>
        <w:spacing w:after="0" w:line="240" w:lineRule="auto"/>
      </w:pPr>
      <w:r>
        <w:separator/>
      </w:r>
    </w:p>
  </w:footnote>
  <w:footnote w:type="continuationSeparator" w:id="0">
    <w:p w:rsidR="00446DFA" w:rsidRDefault="00446DFA" w:rsidP="00B00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B00217">
      <w:trPr>
        <w:trHeight w:val="288"/>
      </w:trPr>
      <w:sdt>
        <w:sdtPr>
          <w:rPr>
            <w:rFonts w:asciiTheme="majorHAnsi" w:eastAsiaTheme="majorEastAsia" w:hAnsiTheme="majorHAnsi" w:cstheme="majorBidi"/>
          </w:rPr>
          <w:alias w:val="Titre"/>
          <w:id w:val="77761602"/>
          <w:placeholder>
            <w:docPart w:val="D399604BDBB8472DAF55A49D98ED1F0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B00217" w:rsidRDefault="00B00217" w:rsidP="00B00217">
              <w:pPr>
                <w:pStyle w:val="En-tte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B00217">
                <w:rPr>
                  <w:rFonts w:asciiTheme="majorHAnsi" w:eastAsiaTheme="majorEastAsia" w:hAnsiTheme="majorHAnsi" w:cstheme="majorBidi"/>
                </w:rPr>
                <w:t>Réunion GT EUND 6 octobre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nnée"/>
          <w:id w:val="77761609"/>
          <w:placeholder>
            <w:docPart w:val="9546E742C5E1409881A0D987ED527915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0-01-01T00:00:00Z">
            <w:dateFormat w:val="yyyy"/>
            <w:lid w:val="fr-F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B00217" w:rsidRDefault="00B00217" w:rsidP="00B00217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 w:rsidRPr="00B00217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2020</w:t>
              </w:r>
            </w:p>
          </w:tc>
        </w:sdtContent>
      </w:sdt>
    </w:tr>
  </w:tbl>
  <w:p w:rsidR="00B00217" w:rsidRDefault="00B002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E1408"/>
    <w:multiLevelType w:val="hybridMultilevel"/>
    <w:tmpl w:val="46801C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5037FC"/>
    <w:multiLevelType w:val="hybridMultilevel"/>
    <w:tmpl w:val="1C401B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8224E3"/>
    <w:multiLevelType w:val="hybridMultilevel"/>
    <w:tmpl w:val="A98C08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C157D6"/>
    <w:multiLevelType w:val="hybridMultilevel"/>
    <w:tmpl w:val="D7AC63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F6"/>
    <w:rsid w:val="00062452"/>
    <w:rsid w:val="000E2A22"/>
    <w:rsid w:val="00190C4E"/>
    <w:rsid w:val="001975F9"/>
    <w:rsid w:val="002A508D"/>
    <w:rsid w:val="002E4D9A"/>
    <w:rsid w:val="002E58B8"/>
    <w:rsid w:val="003B1FF2"/>
    <w:rsid w:val="00407402"/>
    <w:rsid w:val="00446DFA"/>
    <w:rsid w:val="00497C0C"/>
    <w:rsid w:val="004B5469"/>
    <w:rsid w:val="00593ED9"/>
    <w:rsid w:val="005A331B"/>
    <w:rsid w:val="00657690"/>
    <w:rsid w:val="00666353"/>
    <w:rsid w:val="00696A2F"/>
    <w:rsid w:val="00796EBC"/>
    <w:rsid w:val="008327F6"/>
    <w:rsid w:val="008C3A99"/>
    <w:rsid w:val="008D17F1"/>
    <w:rsid w:val="009A4281"/>
    <w:rsid w:val="00A11F96"/>
    <w:rsid w:val="00AB1391"/>
    <w:rsid w:val="00B00217"/>
    <w:rsid w:val="00B8572B"/>
    <w:rsid w:val="00CE0DFF"/>
    <w:rsid w:val="00CE19B7"/>
    <w:rsid w:val="00CF1765"/>
    <w:rsid w:val="00DC085D"/>
    <w:rsid w:val="00E51422"/>
    <w:rsid w:val="00ED113A"/>
    <w:rsid w:val="00F85F74"/>
    <w:rsid w:val="00FD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7B66"/>
  <w15:docId w15:val="{39D84C78-FCD7-423F-A39D-0B9AA5A0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F1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02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1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B00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0217"/>
  </w:style>
  <w:style w:type="paragraph" w:styleId="Pieddepage">
    <w:name w:val="footer"/>
    <w:basedOn w:val="Normal"/>
    <w:link w:val="PieddepageCar"/>
    <w:uiPriority w:val="99"/>
    <w:unhideWhenUsed/>
    <w:rsid w:val="00B00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0217"/>
  </w:style>
  <w:style w:type="paragraph" w:styleId="Textedebulles">
    <w:name w:val="Balloon Text"/>
    <w:basedOn w:val="Normal"/>
    <w:link w:val="TextedebullesCar"/>
    <w:uiPriority w:val="99"/>
    <w:semiHidden/>
    <w:unhideWhenUsed/>
    <w:rsid w:val="00B0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0217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B002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D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D17F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A508D"/>
    <w:rPr>
      <w:color w:val="0000FF" w:themeColor="hyperlink"/>
      <w:u w:val="single"/>
    </w:rPr>
  </w:style>
  <w:style w:type="paragraph" w:customStyle="1" w:styleId="F9E977197262459AB16AE09F8A4F0155">
    <w:name w:val="F9E977197262459AB16AE09F8A4F0155"/>
    <w:rsid w:val="004B5469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99604BDBB8472DAF55A49D98ED1F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AE2380-B7AC-407B-92E9-5EFF4CAF5245}"/>
      </w:docPartPr>
      <w:docPartBody>
        <w:p w:rsidR="005D5D0F" w:rsidRDefault="009328C2" w:rsidP="009328C2">
          <w:pPr>
            <w:pStyle w:val="D399604BDBB8472DAF55A49D98ED1F0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[Titre du document]</w:t>
          </w:r>
        </w:p>
      </w:docPartBody>
    </w:docPart>
    <w:docPart>
      <w:docPartPr>
        <w:name w:val="9546E742C5E1409881A0D987ED5279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02894F-1302-48E1-99D7-7F7B82E72110}"/>
      </w:docPartPr>
      <w:docPartBody>
        <w:p w:rsidR="005D5D0F" w:rsidRDefault="009328C2" w:rsidP="009328C2">
          <w:pPr>
            <w:pStyle w:val="9546E742C5E1409881A0D987ED527915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[Année]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8C2"/>
    <w:rsid w:val="005D5D0F"/>
    <w:rsid w:val="009328C2"/>
    <w:rsid w:val="00B2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399604BDBB8472DAF55A49D98ED1F06">
    <w:name w:val="D399604BDBB8472DAF55A49D98ED1F06"/>
    <w:rsid w:val="009328C2"/>
  </w:style>
  <w:style w:type="paragraph" w:customStyle="1" w:styleId="9546E742C5E1409881A0D987ED527915">
    <w:name w:val="9546E742C5E1409881A0D987ED527915"/>
    <w:rsid w:val="009328C2"/>
  </w:style>
  <w:style w:type="paragraph" w:customStyle="1" w:styleId="FD3E0276CA8A46768B4BE476D8FFEB38">
    <w:name w:val="FD3E0276CA8A46768B4BE476D8FFEB38"/>
    <w:rsid w:val="005D5D0F"/>
  </w:style>
  <w:style w:type="paragraph" w:customStyle="1" w:styleId="27E60E09BE85459FA01AF48B534196E6">
    <w:name w:val="27E60E09BE85459FA01AF48B534196E6"/>
    <w:rsid w:val="005D5D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710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Réunion GT EUND 6 octobre</vt:lpstr>
    </vt:vector>
  </TitlesOfParts>
  <Company>Hewlett-Packard Company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Réunion GT EUND 6 octobre</dc:title>
  <dc:subject/>
  <dc:creator>Liana REUILLY SM</dc:creator>
  <cp:keywords/>
  <dc:description/>
  <cp:lastModifiedBy>Cécile MALAVAUD</cp:lastModifiedBy>
  <cp:revision>15</cp:revision>
  <dcterms:created xsi:type="dcterms:W3CDTF">2020-10-08T08:57:00Z</dcterms:created>
  <dcterms:modified xsi:type="dcterms:W3CDTF">2020-12-16T09:10:00Z</dcterms:modified>
</cp:coreProperties>
</file>