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93ED2F" w14:textId="31E1FE97" w:rsidR="00682CA0" w:rsidRPr="00727410" w:rsidRDefault="00682CA0" w:rsidP="00D2534E">
      <w:pPr>
        <w:pStyle w:val="normal1erepage"/>
        <w:spacing w:before="0"/>
      </w:pPr>
    </w:p>
    <w:p w14:paraId="03D31734" w14:textId="77777777" w:rsidR="00572F8A" w:rsidRPr="00CA0BD3" w:rsidRDefault="00572F8A" w:rsidP="00D2534E">
      <w:pPr>
        <w:pStyle w:val="Titre"/>
        <w:spacing w:before="480" w:after="120"/>
        <w:jc w:val="left"/>
        <w:rPr>
          <w:rFonts w:ascii="Century Gothic" w:hAnsi="Century Gothic"/>
          <w:sz w:val="40"/>
          <w:szCs w:val="40"/>
        </w:rPr>
      </w:pPr>
    </w:p>
    <w:p w14:paraId="62FF063A" w14:textId="5EC9CE09" w:rsidR="00727410" w:rsidRPr="00CA0BD3" w:rsidRDefault="00CA0BD3" w:rsidP="00CA0BD3">
      <w:pPr>
        <w:pStyle w:val="Titre"/>
        <w:spacing w:before="480" w:after="120"/>
        <w:jc w:val="center"/>
        <w:rPr>
          <w:rFonts w:ascii="Century Gothic" w:hAnsi="Century Gothic"/>
          <w:sz w:val="40"/>
          <w:szCs w:val="40"/>
        </w:rPr>
      </w:pPr>
      <w:r w:rsidRPr="00CA0BD3">
        <w:rPr>
          <w:rFonts w:ascii="Century Gothic" w:hAnsi="Century Gothic"/>
          <w:sz w:val="40"/>
          <w:szCs w:val="40"/>
        </w:rPr>
        <w:t>Préparation au transfert de</w:t>
      </w:r>
      <w:r w:rsidR="00934CF8">
        <w:rPr>
          <w:rFonts w:ascii="Century Gothic" w:hAnsi="Century Gothic"/>
          <w:sz w:val="40"/>
          <w:szCs w:val="40"/>
        </w:rPr>
        <w:t>s</w:t>
      </w:r>
      <w:r w:rsidRPr="00CA0BD3">
        <w:rPr>
          <w:rFonts w:ascii="Century Gothic" w:hAnsi="Century Gothic"/>
          <w:sz w:val="40"/>
          <w:szCs w:val="40"/>
        </w:rPr>
        <w:t xml:space="preserve"> compétence</w:t>
      </w:r>
      <w:r w:rsidR="00934CF8">
        <w:rPr>
          <w:rFonts w:ascii="Century Gothic" w:hAnsi="Century Gothic"/>
          <w:sz w:val="40"/>
          <w:szCs w:val="40"/>
        </w:rPr>
        <w:t>s</w:t>
      </w:r>
      <w:r w:rsidRPr="00CA0BD3">
        <w:rPr>
          <w:rFonts w:ascii="Century Gothic" w:hAnsi="Century Gothic"/>
          <w:sz w:val="40"/>
          <w:szCs w:val="40"/>
        </w:rPr>
        <w:t xml:space="preserve"> Eau et Assainissement :</w:t>
      </w:r>
    </w:p>
    <w:p w14:paraId="006A61E9" w14:textId="0F940900" w:rsidR="00CA0BD3" w:rsidRPr="00CA0BD3" w:rsidRDefault="00CA0BD3" w:rsidP="00CA0BD3">
      <w:pPr>
        <w:pStyle w:val="Titre"/>
        <w:jc w:val="center"/>
        <w:rPr>
          <w:sz w:val="40"/>
          <w:szCs w:val="40"/>
        </w:rPr>
      </w:pPr>
      <w:r w:rsidRPr="00CA0BD3">
        <w:rPr>
          <w:sz w:val="40"/>
          <w:szCs w:val="40"/>
        </w:rPr>
        <w:t>Chronogramme et recommandations</w:t>
      </w:r>
    </w:p>
    <w:p w14:paraId="04F658EA" w14:textId="5BAACCAD" w:rsidR="00CA0BD3" w:rsidRPr="00CA0BD3" w:rsidRDefault="00CA0BD3" w:rsidP="00CA0BD3"/>
    <w:p w14:paraId="6C9EDD52" w14:textId="11E578E9" w:rsidR="008A7D15" w:rsidRDefault="00572F8A" w:rsidP="008A7D15">
      <w:pPr>
        <w:pStyle w:val="normal1erepage"/>
        <w:jc w:val="right"/>
        <w:rPr>
          <w:rFonts w:asciiTheme="majorHAnsi" w:eastAsiaTheme="majorEastAsia" w:hAnsiTheme="majorHAnsi" w:cstheme="majorBidi"/>
          <w:iCs/>
          <w:color w:val="007CBF"/>
          <w:spacing w:val="15"/>
          <w:sz w:val="24"/>
          <w:szCs w:val="24"/>
        </w:rPr>
      </w:pPr>
      <w:r>
        <w:rPr>
          <w:rFonts w:asciiTheme="majorHAnsi" w:eastAsiaTheme="majorEastAsia" w:hAnsiTheme="majorHAnsi" w:cstheme="majorBidi"/>
          <w:iCs/>
          <w:color w:val="007CBF"/>
          <w:spacing w:val="15"/>
          <w:sz w:val="24"/>
          <w:szCs w:val="24"/>
        </w:rPr>
        <w:t xml:space="preserve">Version 1 - </w:t>
      </w:r>
      <w:r w:rsidR="00CA0BD3">
        <w:rPr>
          <w:rFonts w:asciiTheme="majorHAnsi" w:eastAsiaTheme="majorEastAsia" w:hAnsiTheme="majorHAnsi" w:cstheme="majorBidi"/>
          <w:iCs/>
          <w:color w:val="007CBF"/>
          <w:spacing w:val="15"/>
          <w:sz w:val="24"/>
          <w:szCs w:val="24"/>
        </w:rPr>
        <w:t>Juin</w:t>
      </w:r>
      <w:r w:rsidR="007D553C">
        <w:rPr>
          <w:rFonts w:asciiTheme="majorHAnsi" w:eastAsiaTheme="majorEastAsia" w:hAnsiTheme="majorHAnsi" w:cstheme="majorBidi"/>
          <w:iCs/>
          <w:color w:val="007CBF"/>
          <w:spacing w:val="15"/>
          <w:sz w:val="24"/>
          <w:szCs w:val="24"/>
        </w:rPr>
        <w:t xml:space="preserve"> 20</w:t>
      </w:r>
      <w:r w:rsidR="00CA0BD3">
        <w:rPr>
          <w:rFonts w:asciiTheme="majorHAnsi" w:eastAsiaTheme="majorEastAsia" w:hAnsiTheme="majorHAnsi" w:cstheme="majorBidi"/>
          <w:iCs/>
          <w:color w:val="007CBF"/>
          <w:spacing w:val="15"/>
          <w:sz w:val="24"/>
          <w:szCs w:val="24"/>
        </w:rPr>
        <w:t>20</w:t>
      </w:r>
    </w:p>
    <w:p w14:paraId="7D163542" w14:textId="06E7BBE2" w:rsidR="00CA0BD3" w:rsidRDefault="00CA0BD3" w:rsidP="00D2534E">
      <w:pPr>
        <w:pStyle w:val="presentstitre"/>
        <w:spacing w:after="0"/>
      </w:pPr>
    </w:p>
    <w:p w14:paraId="62B9B34A" w14:textId="77777777" w:rsidR="00D531A0" w:rsidRDefault="00D531A0" w:rsidP="00D2534E">
      <w:pPr>
        <w:pStyle w:val="presentstitre"/>
        <w:spacing w:after="0"/>
      </w:pPr>
    </w:p>
    <w:p w14:paraId="17601BC6" w14:textId="16AC154C" w:rsidR="00436E14" w:rsidRDefault="00CA0BD3" w:rsidP="00D2534E">
      <w:pPr>
        <w:pStyle w:val="presentstitre"/>
        <w:spacing w:after="0"/>
      </w:pPr>
      <w:r>
        <w:t>CONTEXTE</w:t>
      </w:r>
    </w:p>
    <w:p w14:paraId="00685F54" w14:textId="77777777" w:rsidR="001E074E" w:rsidRDefault="001E074E" w:rsidP="001E074E">
      <w:pPr>
        <w:spacing w:before="0"/>
        <w:rPr>
          <w:shd w:val="clear" w:color="auto" w:fill="FFFFFF"/>
        </w:rPr>
      </w:pPr>
    </w:p>
    <w:p w14:paraId="4DF05CC3" w14:textId="6920EB50" w:rsidR="0011418D" w:rsidRPr="0011418D" w:rsidRDefault="0011418D" w:rsidP="0011418D">
      <w:pPr>
        <w:pStyle w:val="presentstitre"/>
        <w:ind w:left="0"/>
        <w:rPr>
          <w:rFonts w:ascii="Georgia" w:hAnsi="Georgia"/>
          <w:color w:val="000000" w:themeColor="text1"/>
          <w:sz w:val="18"/>
          <w:shd w:val="clear" w:color="auto" w:fill="FFFFFF"/>
        </w:rPr>
      </w:pPr>
      <w:r w:rsidRPr="0011418D">
        <w:rPr>
          <w:rFonts w:ascii="Georgia" w:hAnsi="Georgia"/>
          <w:color w:val="000000" w:themeColor="text1"/>
          <w:sz w:val="18"/>
          <w:shd w:val="clear" w:color="auto" w:fill="FFFFFF"/>
        </w:rPr>
        <w:t xml:space="preserve">De nombreuses collectivités sont en cours de réflexion sur le transfert des compétences eau et assainissement, notamment dans le cadre de la Loi </w:t>
      </w:r>
      <w:proofErr w:type="spellStart"/>
      <w:r w:rsidRPr="0011418D">
        <w:rPr>
          <w:rFonts w:ascii="Georgia" w:hAnsi="Georgia"/>
          <w:color w:val="000000" w:themeColor="text1"/>
          <w:sz w:val="18"/>
          <w:shd w:val="clear" w:color="auto" w:fill="FFFFFF"/>
        </w:rPr>
        <w:t>NOTRe</w:t>
      </w:r>
      <w:proofErr w:type="spellEnd"/>
      <w:r w:rsidRPr="0011418D">
        <w:rPr>
          <w:rFonts w:ascii="Georgia" w:hAnsi="Georgia"/>
          <w:color w:val="000000" w:themeColor="text1"/>
          <w:sz w:val="18"/>
          <w:shd w:val="clear" w:color="auto" w:fill="FFFFFF"/>
        </w:rPr>
        <w:t xml:space="preserve"> du 7 août 2015. Celle-ci imposait leur transfert obligatoire des communes vers les EPCI</w:t>
      </w:r>
      <w:r w:rsidR="002F6D63">
        <w:rPr>
          <w:rFonts w:ascii="Georgia" w:hAnsi="Georgia"/>
          <w:color w:val="000000" w:themeColor="text1"/>
          <w:sz w:val="18"/>
          <w:shd w:val="clear" w:color="auto" w:fill="FFFFFF"/>
        </w:rPr>
        <w:t xml:space="preserve"> - FP</w:t>
      </w:r>
      <w:r w:rsidRPr="0011418D">
        <w:rPr>
          <w:rFonts w:ascii="Georgia" w:hAnsi="Georgia"/>
          <w:color w:val="000000" w:themeColor="text1"/>
          <w:sz w:val="18"/>
          <w:shd w:val="clear" w:color="auto" w:fill="FFFFFF"/>
        </w:rPr>
        <w:t xml:space="preserve"> – y compris communautés de communes et d’agglomération – à compter du 1er janvier 2020. Un</w:t>
      </w:r>
      <w:r w:rsidR="002F6D63">
        <w:rPr>
          <w:rFonts w:ascii="Georgia" w:hAnsi="Georgia"/>
          <w:color w:val="000000" w:themeColor="text1"/>
          <w:sz w:val="18"/>
          <w:shd w:val="clear" w:color="auto" w:fill="FFFFFF"/>
        </w:rPr>
        <w:t>e nouvelle loi</w:t>
      </w:r>
      <w:r w:rsidRPr="0011418D">
        <w:rPr>
          <w:rFonts w:ascii="Georgia" w:hAnsi="Georgia"/>
          <w:color w:val="000000" w:themeColor="text1"/>
          <w:sz w:val="18"/>
          <w:shd w:val="clear" w:color="auto" w:fill="FFFFFF"/>
        </w:rPr>
        <w:t xml:space="preserve"> du 27 décembre 2019 est venu chambouler le contexte et les échéances assouplissant les conditions et offrant un report possible du transfert au 1er janvier 2026</w:t>
      </w:r>
      <w:r w:rsidR="002F6D63">
        <w:rPr>
          <w:rFonts w:ascii="Georgia" w:hAnsi="Georgia"/>
          <w:color w:val="000000" w:themeColor="text1"/>
          <w:sz w:val="18"/>
          <w:shd w:val="clear" w:color="auto" w:fill="FFFFFF"/>
        </w:rPr>
        <w:t xml:space="preserve"> (</w:t>
      </w:r>
      <w:hyperlink r:id="rId8" w:anchor="p-5ee77922c840d" w:history="1">
        <w:r w:rsidR="002F6D63" w:rsidRPr="002F6D63">
          <w:rPr>
            <w:rStyle w:val="Lienhypertexte"/>
            <w:rFonts w:ascii="Georgia" w:hAnsi="Georgia"/>
            <w:sz w:val="18"/>
            <w:shd w:val="clear" w:color="auto" w:fill="FFFFFF"/>
          </w:rPr>
          <w:t xml:space="preserve">décryptage de la loi engagement et proximité, </w:t>
        </w:r>
        <w:proofErr w:type="spellStart"/>
        <w:r w:rsidR="002F6D63" w:rsidRPr="002F6D63">
          <w:rPr>
            <w:rStyle w:val="Lienhypertexte"/>
            <w:rFonts w:ascii="Georgia" w:hAnsi="Georgia"/>
            <w:sz w:val="18"/>
            <w:shd w:val="clear" w:color="auto" w:fill="FFFFFF"/>
          </w:rPr>
          <w:t>ascomade</w:t>
        </w:r>
        <w:proofErr w:type="spellEnd"/>
      </w:hyperlink>
      <w:r w:rsidR="002F6D63" w:rsidRPr="002F6D63">
        <w:rPr>
          <w:rFonts w:ascii="Georgia" w:hAnsi="Georgia"/>
          <w:color w:val="000000" w:themeColor="text1"/>
          <w:sz w:val="18"/>
          <w:shd w:val="clear" w:color="auto" w:fill="FFFFFF"/>
        </w:rPr>
        <w:t>).</w:t>
      </w:r>
      <w:bookmarkStart w:id="0" w:name="_GoBack"/>
      <w:bookmarkEnd w:id="0"/>
    </w:p>
    <w:p w14:paraId="58AC4C0B" w14:textId="77777777" w:rsidR="0011418D" w:rsidRDefault="0011418D" w:rsidP="0011418D">
      <w:pPr>
        <w:pStyle w:val="presentstitre"/>
        <w:ind w:left="0"/>
        <w:rPr>
          <w:rFonts w:ascii="Georgia" w:hAnsi="Georgia"/>
          <w:color w:val="000000" w:themeColor="text1"/>
          <w:sz w:val="18"/>
          <w:shd w:val="clear" w:color="auto" w:fill="FFFFFF"/>
        </w:rPr>
      </w:pPr>
      <w:r w:rsidRPr="0011418D">
        <w:rPr>
          <w:rFonts w:ascii="Georgia" w:hAnsi="Georgia"/>
          <w:color w:val="000000" w:themeColor="text1"/>
          <w:sz w:val="18"/>
          <w:shd w:val="clear" w:color="auto" w:fill="FFFFFF"/>
        </w:rPr>
        <w:t xml:space="preserve">Dans le domaine de l'eau, entre transfert de compétences (eau potable, assainissement collectif et non collectif) et définition d'une nouvelle compétence (GEPU), sans parler de la </w:t>
      </w:r>
      <w:proofErr w:type="spellStart"/>
      <w:r w:rsidRPr="0011418D">
        <w:rPr>
          <w:rFonts w:ascii="Georgia" w:hAnsi="Georgia"/>
          <w:color w:val="000000" w:themeColor="text1"/>
          <w:sz w:val="18"/>
          <w:shd w:val="clear" w:color="auto" w:fill="FFFFFF"/>
        </w:rPr>
        <w:t>Gemapi</w:t>
      </w:r>
      <w:proofErr w:type="spellEnd"/>
      <w:r w:rsidRPr="0011418D">
        <w:rPr>
          <w:rFonts w:ascii="Georgia" w:hAnsi="Georgia"/>
          <w:color w:val="000000" w:themeColor="text1"/>
          <w:sz w:val="18"/>
          <w:shd w:val="clear" w:color="auto" w:fill="FFFFFF"/>
        </w:rPr>
        <w:t xml:space="preserve"> et de la sécurité incendie, ces évolutions viennent bouleverser les structures, les organisations et les ressentis. Elles sont de plus relativement complexes à mettre en place. Certaines collectivités se sont vues prises de court par les échéances et se sont lancées dans un transfert rapide des compétences, alors que nous sommes convaincus de la nécessité de prendre du temps pour ce faire. </w:t>
      </w:r>
    </w:p>
    <w:p w14:paraId="34F36EE3" w14:textId="267459F8" w:rsidR="00D531A0" w:rsidRDefault="00D531A0" w:rsidP="0011418D">
      <w:pPr>
        <w:pStyle w:val="presentstitre"/>
        <w:ind w:left="0"/>
        <w:rPr>
          <w:shd w:val="clear" w:color="auto" w:fill="FFFFFF"/>
        </w:rPr>
      </w:pPr>
      <w:r>
        <w:rPr>
          <w:shd w:val="clear" w:color="auto" w:fill="FFFFFF"/>
        </w:rPr>
        <w:t xml:space="preserve">OBJECTIFS </w:t>
      </w:r>
    </w:p>
    <w:p w14:paraId="1FF8A6EC" w14:textId="06922FFA" w:rsidR="00D531A0" w:rsidRDefault="009715AB" w:rsidP="00D531A0">
      <w:pPr>
        <w:rPr>
          <w:shd w:val="clear" w:color="auto" w:fill="FFFFFF"/>
        </w:rPr>
      </w:pPr>
      <w:r>
        <w:rPr>
          <w:shd w:val="clear" w:color="auto" w:fill="FFFFFF"/>
        </w:rPr>
        <w:t xml:space="preserve">Ce document vise à fournir un </w:t>
      </w:r>
      <w:r w:rsidR="00D531A0">
        <w:rPr>
          <w:shd w:val="clear" w:color="auto" w:fill="FFFFFF"/>
        </w:rPr>
        <w:t xml:space="preserve">support </w:t>
      </w:r>
      <w:r w:rsidR="0067252E">
        <w:rPr>
          <w:shd w:val="clear" w:color="auto" w:fill="FFFFFF"/>
        </w:rPr>
        <w:t xml:space="preserve">méthodologique </w:t>
      </w:r>
      <w:r w:rsidR="00D531A0">
        <w:rPr>
          <w:shd w:val="clear" w:color="auto" w:fill="FFFFFF"/>
        </w:rPr>
        <w:t xml:space="preserve">pour les collectivités qui vont devoir </w:t>
      </w:r>
      <w:r w:rsidR="0067252E">
        <w:rPr>
          <w:shd w:val="clear" w:color="auto" w:fill="FFFFFF"/>
        </w:rPr>
        <w:t>définir et re</w:t>
      </w:r>
      <w:r w:rsidR="00D531A0">
        <w:rPr>
          <w:shd w:val="clear" w:color="auto" w:fill="FFFFFF"/>
        </w:rPr>
        <w:t xml:space="preserve">prendre les compétences </w:t>
      </w:r>
      <w:r>
        <w:rPr>
          <w:shd w:val="clear" w:color="auto" w:fill="FFFFFF"/>
        </w:rPr>
        <w:t>eau et assainissement.</w:t>
      </w:r>
    </w:p>
    <w:p w14:paraId="3210FDE5" w14:textId="50314EFE" w:rsidR="0011418D" w:rsidRDefault="00466F1D" w:rsidP="00D531A0">
      <w:pPr>
        <w:rPr>
          <w:shd w:val="clear" w:color="auto" w:fill="FFFFFF"/>
        </w:rPr>
      </w:pPr>
      <w:r>
        <w:rPr>
          <w:shd w:val="clear" w:color="auto" w:fill="FFFFFF"/>
        </w:rPr>
        <w:t>En se basant sur les retours d’expérience des membr</w:t>
      </w:r>
      <w:r w:rsidR="0011418D">
        <w:rPr>
          <w:shd w:val="clear" w:color="auto" w:fill="FFFFFF"/>
        </w:rPr>
        <w:t>es du groupe, les objectifs sont de :</w:t>
      </w:r>
    </w:p>
    <w:p w14:paraId="5A6BD99A" w14:textId="09B9A58E" w:rsidR="00466F1D" w:rsidRPr="0011418D" w:rsidRDefault="00466F1D" w:rsidP="0011418D">
      <w:pPr>
        <w:pStyle w:val="Paragraphedeliste"/>
        <w:numPr>
          <w:ilvl w:val="0"/>
          <w:numId w:val="58"/>
        </w:numPr>
        <w:rPr>
          <w:shd w:val="clear" w:color="auto" w:fill="FFFFFF"/>
        </w:rPr>
      </w:pPr>
      <w:proofErr w:type="gramStart"/>
      <w:r w:rsidRPr="0011418D">
        <w:rPr>
          <w:shd w:val="clear" w:color="auto" w:fill="FFFFFF"/>
        </w:rPr>
        <w:t>donner</w:t>
      </w:r>
      <w:proofErr w:type="gramEnd"/>
      <w:r w:rsidRPr="0011418D">
        <w:rPr>
          <w:shd w:val="clear" w:color="auto" w:fill="FFFFFF"/>
        </w:rPr>
        <w:t xml:space="preserve"> les grandes lignes </w:t>
      </w:r>
      <w:r w:rsidR="009715AB" w:rsidRPr="0011418D">
        <w:rPr>
          <w:shd w:val="clear" w:color="auto" w:fill="FFFFFF"/>
        </w:rPr>
        <w:t xml:space="preserve">de réflexion </w:t>
      </w:r>
      <w:r w:rsidRPr="0011418D">
        <w:rPr>
          <w:shd w:val="clear" w:color="auto" w:fill="FFFFFF"/>
        </w:rPr>
        <w:t>pour ne pas passer à côté d’étapes essentielle</w:t>
      </w:r>
      <w:r w:rsidR="009715AB" w:rsidRPr="0011418D">
        <w:rPr>
          <w:shd w:val="clear" w:color="auto" w:fill="FFFFFF"/>
        </w:rPr>
        <w:t>s</w:t>
      </w:r>
      <w:r w:rsidRPr="0011418D">
        <w:rPr>
          <w:shd w:val="clear" w:color="auto" w:fill="FFFFFF"/>
        </w:rPr>
        <w:t>, amener les collectivités à se poser les bonnes questions et avoir une regard critique su</w:t>
      </w:r>
      <w:r w:rsidR="009715AB" w:rsidRPr="0011418D">
        <w:rPr>
          <w:shd w:val="clear" w:color="auto" w:fill="FFFFFF"/>
        </w:rPr>
        <w:t>r l’ensemble du processus de</w:t>
      </w:r>
      <w:r w:rsidRPr="0011418D">
        <w:rPr>
          <w:shd w:val="clear" w:color="auto" w:fill="FFFFFF"/>
        </w:rPr>
        <w:t xml:space="preserve"> transfert de compétences.</w:t>
      </w:r>
    </w:p>
    <w:p w14:paraId="6CEC1619" w14:textId="5885D981" w:rsidR="00466F1D" w:rsidRPr="0011418D" w:rsidRDefault="001F4013" w:rsidP="0011418D">
      <w:pPr>
        <w:pStyle w:val="Paragraphedeliste"/>
        <w:numPr>
          <w:ilvl w:val="0"/>
          <w:numId w:val="58"/>
        </w:numPr>
        <w:rPr>
          <w:shd w:val="clear" w:color="auto" w:fill="FFFFFF"/>
        </w:rPr>
      </w:pPr>
      <w:proofErr w:type="gramStart"/>
      <w:r w:rsidRPr="0011418D">
        <w:rPr>
          <w:shd w:val="clear" w:color="auto" w:fill="FFFFFF"/>
        </w:rPr>
        <w:t>s</w:t>
      </w:r>
      <w:r w:rsidR="00466F1D" w:rsidRPr="0011418D">
        <w:rPr>
          <w:shd w:val="clear" w:color="auto" w:fill="FFFFFF"/>
        </w:rPr>
        <w:t>oulever</w:t>
      </w:r>
      <w:proofErr w:type="gramEnd"/>
      <w:r w:rsidR="00466F1D" w:rsidRPr="0011418D">
        <w:rPr>
          <w:shd w:val="clear" w:color="auto" w:fill="FFFFFF"/>
        </w:rPr>
        <w:t xml:space="preserve"> les points clés et incontournable</w:t>
      </w:r>
      <w:r w:rsidR="00157441" w:rsidRPr="0011418D">
        <w:rPr>
          <w:shd w:val="clear" w:color="auto" w:fill="FFFFFF"/>
        </w:rPr>
        <w:t>s</w:t>
      </w:r>
      <w:r w:rsidR="00466F1D" w:rsidRPr="0011418D">
        <w:rPr>
          <w:shd w:val="clear" w:color="auto" w:fill="FFFFFF"/>
        </w:rPr>
        <w:t xml:space="preserve"> à chaque étape et </w:t>
      </w:r>
      <w:r w:rsidRPr="0011418D">
        <w:rPr>
          <w:shd w:val="clear" w:color="auto" w:fill="FFFFFF"/>
        </w:rPr>
        <w:t xml:space="preserve">souligne </w:t>
      </w:r>
      <w:r w:rsidR="00466F1D" w:rsidRPr="0011418D">
        <w:rPr>
          <w:shd w:val="clear" w:color="auto" w:fill="FFFFFF"/>
        </w:rPr>
        <w:t>l’importance de la construction d’une vision partagée et de l’adhésion des acteurs au projet</w:t>
      </w:r>
      <w:r w:rsidR="00157441" w:rsidRPr="0011418D">
        <w:rPr>
          <w:shd w:val="clear" w:color="auto" w:fill="FFFFFF"/>
        </w:rPr>
        <w:t>,</w:t>
      </w:r>
      <w:r w:rsidR="00466F1D" w:rsidRPr="0011418D">
        <w:rPr>
          <w:shd w:val="clear" w:color="auto" w:fill="FFFFFF"/>
        </w:rPr>
        <w:t xml:space="preserve"> afin de </w:t>
      </w:r>
      <w:r w:rsidR="00157441" w:rsidRPr="0011418D">
        <w:rPr>
          <w:shd w:val="clear" w:color="auto" w:fill="FFFFFF"/>
        </w:rPr>
        <w:t>limiter les écueils dans ce processus</w:t>
      </w:r>
      <w:r w:rsidR="00466F1D" w:rsidRPr="0011418D">
        <w:rPr>
          <w:shd w:val="clear" w:color="auto" w:fill="FFFFFF"/>
        </w:rPr>
        <w:t>.</w:t>
      </w:r>
    </w:p>
    <w:p w14:paraId="347C213B" w14:textId="5FFAFFCC" w:rsidR="00466F1D" w:rsidRDefault="001F4013" w:rsidP="00D531A0">
      <w:pPr>
        <w:rPr>
          <w:shd w:val="clear" w:color="auto" w:fill="FFFFFF"/>
        </w:rPr>
      </w:pPr>
      <w:r>
        <w:rPr>
          <w:shd w:val="clear" w:color="auto" w:fill="FFFFFF"/>
        </w:rPr>
        <w:t>Il a été choisi de proposer</w:t>
      </w:r>
      <w:r w:rsidR="00466F1D">
        <w:rPr>
          <w:shd w:val="clear" w:color="auto" w:fill="FFFFFF"/>
        </w:rPr>
        <w:t xml:space="preserve"> 2 chronogrammes</w:t>
      </w:r>
      <w:r w:rsidR="00157441">
        <w:rPr>
          <w:shd w:val="clear" w:color="auto" w:fill="FFFFFF"/>
        </w:rPr>
        <w:t xml:space="preserve"> :</w:t>
      </w:r>
      <w:r w:rsidR="00466F1D">
        <w:rPr>
          <w:shd w:val="clear" w:color="auto" w:fill="FFFFFF"/>
        </w:rPr>
        <w:t xml:space="preserve"> </w:t>
      </w:r>
      <w:r w:rsidR="00157441">
        <w:rPr>
          <w:shd w:val="clear" w:color="auto" w:fill="FFFFFF"/>
        </w:rPr>
        <w:t>l'</w:t>
      </w:r>
      <w:r w:rsidR="00466F1D">
        <w:rPr>
          <w:shd w:val="clear" w:color="auto" w:fill="FFFFFF"/>
        </w:rPr>
        <w:t xml:space="preserve">un avec des échéances </w:t>
      </w:r>
      <w:r w:rsidR="00466F1D" w:rsidRPr="003A437C">
        <w:rPr>
          <w:shd w:val="clear" w:color="auto" w:fill="FFFFFF"/>
        </w:rPr>
        <w:t>correctes</w:t>
      </w:r>
      <w:r w:rsidR="00466F1D">
        <w:rPr>
          <w:shd w:val="clear" w:color="auto" w:fill="FFFFFF"/>
        </w:rPr>
        <w:t xml:space="preserve"> et l’autre avec des échéances contraintes. Le but est de guider les collectivités dans les 2 cas</w:t>
      </w:r>
      <w:r>
        <w:rPr>
          <w:shd w:val="clear" w:color="auto" w:fill="FFFFFF"/>
        </w:rPr>
        <w:t xml:space="preserve"> en fonction de leur situation. M</w:t>
      </w:r>
      <w:r w:rsidR="00466F1D">
        <w:rPr>
          <w:shd w:val="clear" w:color="auto" w:fill="FFFFFF"/>
        </w:rPr>
        <w:t>ais aussi, au vue du nouveau contexte réglementaire</w:t>
      </w:r>
      <w:r w:rsidR="00157441">
        <w:rPr>
          <w:shd w:val="clear" w:color="auto" w:fill="FFFFFF"/>
        </w:rPr>
        <w:t>,</w:t>
      </w:r>
      <w:r w:rsidR="00466F1D">
        <w:rPr>
          <w:shd w:val="clear" w:color="auto" w:fill="FFFFFF"/>
        </w:rPr>
        <w:t xml:space="preserve"> </w:t>
      </w:r>
      <w:r w:rsidR="00157441">
        <w:rPr>
          <w:shd w:val="clear" w:color="auto" w:fill="FFFFFF"/>
        </w:rPr>
        <w:t>de leur fournir les arguments pour retenir un calendrier raisonnable pour optimiser les chances d'un transfert réussi</w:t>
      </w:r>
      <w:r w:rsidR="00466F1D">
        <w:rPr>
          <w:shd w:val="clear" w:color="auto" w:fill="FFFFFF"/>
        </w:rPr>
        <w:t>.</w:t>
      </w:r>
    </w:p>
    <w:p w14:paraId="326DA316" w14:textId="77777777" w:rsidR="00D15E9A" w:rsidRDefault="00D15E9A" w:rsidP="00D531A0">
      <w:pPr>
        <w:rPr>
          <w:shd w:val="clear" w:color="auto" w:fill="FFFFFF"/>
        </w:rPr>
      </w:pPr>
    </w:p>
    <w:p w14:paraId="47EA22AA" w14:textId="0D543106" w:rsidR="00466F1D" w:rsidRDefault="00466F1D" w:rsidP="00D15E9A">
      <w:pPr>
        <w:pStyle w:val="presentstitre"/>
        <w:tabs>
          <w:tab w:val="right" w:pos="9070"/>
        </w:tabs>
        <w:rPr>
          <w:shd w:val="clear" w:color="auto" w:fill="FFFFFF"/>
        </w:rPr>
      </w:pPr>
      <w:r>
        <w:rPr>
          <w:shd w:val="clear" w:color="auto" w:fill="FFFFFF"/>
        </w:rPr>
        <w:t>CLES D’UTILISATION/ GUIDE DE LECTURE</w:t>
      </w:r>
      <w:r w:rsidR="00D15E9A">
        <w:rPr>
          <w:shd w:val="clear" w:color="auto" w:fill="FFFFFF"/>
        </w:rPr>
        <w:tab/>
      </w:r>
    </w:p>
    <w:p w14:paraId="108069DA" w14:textId="690D087C" w:rsidR="00BA18CC" w:rsidRPr="000B5019" w:rsidRDefault="00EF0A02" w:rsidP="00BA18CC">
      <w:pPr>
        <w:spacing w:before="0"/>
        <w:ind w:right="2266"/>
        <w:rPr>
          <w:shd w:val="clear" w:color="auto" w:fill="FFFFFF"/>
        </w:rPr>
      </w:pPr>
      <w:r w:rsidRPr="000B5019">
        <w:rPr>
          <w:shd w:val="clear" w:color="auto" w:fill="FFFFFF"/>
        </w:rPr>
        <w:t xml:space="preserve">Le document </w:t>
      </w:r>
      <w:r w:rsidR="00157441">
        <w:rPr>
          <w:shd w:val="clear" w:color="auto" w:fill="FFFFFF"/>
        </w:rPr>
        <w:t>recense</w:t>
      </w:r>
      <w:r w:rsidR="00157441" w:rsidRPr="000B5019">
        <w:rPr>
          <w:shd w:val="clear" w:color="auto" w:fill="FFFFFF"/>
        </w:rPr>
        <w:t xml:space="preserve"> </w:t>
      </w:r>
      <w:r w:rsidRPr="000B5019">
        <w:rPr>
          <w:shd w:val="clear" w:color="auto" w:fill="FFFFFF"/>
        </w:rPr>
        <w:t xml:space="preserve">les étapes </w:t>
      </w:r>
      <w:r w:rsidR="00BA18CC" w:rsidRPr="000B5019">
        <w:rPr>
          <w:shd w:val="clear" w:color="auto" w:fill="FFFFFF"/>
        </w:rPr>
        <w:t>essentielles</w:t>
      </w:r>
      <w:r w:rsidRPr="000B5019">
        <w:rPr>
          <w:shd w:val="clear" w:color="auto" w:fill="FFFFFF"/>
        </w:rPr>
        <w:t xml:space="preserve"> et leur validation</w:t>
      </w:r>
      <w:r w:rsidR="00BA18CC" w:rsidRPr="000B5019">
        <w:rPr>
          <w:shd w:val="clear" w:color="auto" w:fill="FFFFFF"/>
        </w:rPr>
        <w:t xml:space="preserve"> en appui sur 5 axes  : </w:t>
      </w:r>
      <w:r w:rsidR="00BA18CC" w:rsidRPr="000B5019">
        <w:rPr>
          <w:shd w:val="clear" w:color="auto" w:fill="FFFFFF"/>
        </w:rPr>
        <w:br/>
        <w:t>- la mobilisation des élus</w:t>
      </w:r>
      <w:r w:rsidR="000B5019" w:rsidRPr="000B5019">
        <w:rPr>
          <w:shd w:val="clear" w:color="auto" w:fill="FFFFFF"/>
        </w:rPr>
        <w:t>,</w:t>
      </w:r>
    </w:p>
    <w:p w14:paraId="646264FD" w14:textId="5D209A7F" w:rsidR="00BA18CC" w:rsidRPr="000B5019" w:rsidRDefault="00BA18CC" w:rsidP="00BA18CC">
      <w:pPr>
        <w:spacing w:before="0"/>
        <w:ind w:right="3258"/>
        <w:rPr>
          <w:shd w:val="clear" w:color="auto" w:fill="FFFFFF"/>
        </w:rPr>
      </w:pPr>
      <w:r w:rsidRPr="000B5019">
        <w:rPr>
          <w:shd w:val="clear" w:color="auto" w:fill="FFFFFF"/>
        </w:rPr>
        <w:t xml:space="preserve">- la communication et </w:t>
      </w:r>
      <w:r w:rsidR="00F952A1">
        <w:rPr>
          <w:shd w:val="clear" w:color="auto" w:fill="FFFFFF"/>
        </w:rPr>
        <w:t xml:space="preserve">la </w:t>
      </w:r>
      <w:r w:rsidRPr="000B5019">
        <w:rPr>
          <w:shd w:val="clear" w:color="auto" w:fill="FFFFFF"/>
        </w:rPr>
        <w:t>concertation</w:t>
      </w:r>
      <w:r w:rsidR="000B5019" w:rsidRPr="000B5019">
        <w:rPr>
          <w:shd w:val="clear" w:color="auto" w:fill="FFFFFF"/>
        </w:rPr>
        <w:t>,</w:t>
      </w:r>
    </w:p>
    <w:p w14:paraId="66B6DE5B" w14:textId="53D26854" w:rsidR="00BA18CC" w:rsidRPr="000B5019" w:rsidRDefault="00BA18CC" w:rsidP="00BA18CC">
      <w:pPr>
        <w:spacing w:before="0"/>
        <w:ind w:right="3258"/>
        <w:rPr>
          <w:shd w:val="clear" w:color="auto" w:fill="FFFFFF"/>
        </w:rPr>
      </w:pPr>
      <w:r w:rsidRPr="000B5019">
        <w:rPr>
          <w:shd w:val="clear" w:color="auto" w:fill="FFFFFF"/>
        </w:rPr>
        <w:t>- les aspects humains</w:t>
      </w:r>
      <w:r w:rsidR="000B5019" w:rsidRPr="000B5019">
        <w:rPr>
          <w:shd w:val="clear" w:color="auto" w:fill="FFFFFF"/>
        </w:rPr>
        <w:t>,</w:t>
      </w:r>
    </w:p>
    <w:p w14:paraId="479C61E3" w14:textId="49F94EAF" w:rsidR="00BA18CC" w:rsidRPr="000B5019" w:rsidRDefault="00BA18CC" w:rsidP="00BA18CC">
      <w:pPr>
        <w:spacing w:before="0"/>
        <w:ind w:right="3258"/>
        <w:rPr>
          <w:shd w:val="clear" w:color="auto" w:fill="FFFFFF"/>
        </w:rPr>
      </w:pPr>
      <w:r w:rsidRPr="000B5019">
        <w:rPr>
          <w:shd w:val="clear" w:color="auto" w:fill="FFFFFF"/>
        </w:rPr>
        <w:t>-</w:t>
      </w:r>
      <w:r w:rsidR="000B5019" w:rsidRPr="000B5019">
        <w:rPr>
          <w:shd w:val="clear" w:color="auto" w:fill="FFFFFF"/>
        </w:rPr>
        <w:t xml:space="preserve"> </w:t>
      </w:r>
      <w:r w:rsidRPr="000B5019">
        <w:rPr>
          <w:shd w:val="clear" w:color="auto" w:fill="FFFFFF"/>
        </w:rPr>
        <w:t>les aspects techniques</w:t>
      </w:r>
      <w:r w:rsidR="000B5019" w:rsidRPr="000B5019">
        <w:rPr>
          <w:shd w:val="clear" w:color="auto" w:fill="FFFFFF"/>
        </w:rPr>
        <w:t>,</w:t>
      </w:r>
    </w:p>
    <w:p w14:paraId="37F53454" w14:textId="7C4C6630" w:rsidR="00BA18CC" w:rsidRPr="000B5019" w:rsidRDefault="00BA18CC" w:rsidP="00BA18CC">
      <w:pPr>
        <w:spacing w:before="0"/>
        <w:ind w:right="3258"/>
        <w:rPr>
          <w:shd w:val="clear" w:color="auto" w:fill="FFFFFF"/>
        </w:rPr>
      </w:pPr>
      <w:r w:rsidRPr="000B5019">
        <w:rPr>
          <w:shd w:val="clear" w:color="auto" w:fill="FFFFFF"/>
        </w:rPr>
        <w:t>-</w:t>
      </w:r>
      <w:r w:rsidR="000B5019" w:rsidRPr="000B5019">
        <w:rPr>
          <w:shd w:val="clear" w:color="auto" w:fill="FFFFFF"/>
        </w:rPr>
        <w:t xml:space="preserve"> </w:t>
      </w:r>
      <w:r w:rsidRPr="000B5019">
        <w:rPr>
          <w:shd w:val="clear" w:color="auto" w:fill="FFFFFF"/>
        </w:rPr>
        <w:t>les aspects financiers</w:t>
      </w:r>
      <w:r w:rsidR="000B5019" w:rsidRPr="000B5019">
        <w:rPr>
          <w:shd w:val="clear" w:color="auto" w:fill="FFFFFF"/>
        </w:rPr>
        <w:t>,</w:t>
      </w:r>
    </w:p>
    <w:p w14:paraId="3F63C47E" w14:textId="19F93EBE" w:rsidR="00BA18CC" w:rsidRPr="000B5019" w:rsidRDefault="00BA18CC" w:rsidP="00BA18CC">
      <w:pPr>
        <w:spacing w:before="0"/>
        <w:ind w:right="3258"/>
        <w:rPr>
          <w:shd w:val="clear" w:color="auto" w:fill="FFFFFF"/>
        </w:rPr>
      </w:pPr>
      <w:r w:rsidRPr="000B5019">
        <w:rPr>
          <w:shd w:val="clear" w:color="auto" w:fill="FFFFFF"/>
        </w:rPr>
        <w:t>-</w:t>
      </w:r>
      <w:r w:rsidR="000B5019" w:rsidRPr="000B5019">
        <w:rPr>
          <w:shd w:val="clear" w:color="auto" w:fill="FFFFFF"/>
        </w:rPr>
        <w:t xml:space="preserve"> </w:t>
      </w:r>
      <w:r w:rsidRPr="000B5019">
        <w:rPr>
          <w:shd w:val="clear" w:color="auto" w:fill="FFFFFF"/>
        </w:rPr>
        <w:t>les aspects juridiques.</w:t>
      </w:r>
    </w:p>
    <w:p w14:paraId="7652E182" w14:textId="660085A4" w:rsidR="00466F1D" w:rsidRPr="0046226E" w:rsidRDefault="00466F1D" w:rsidP="00D531A0">
      <w:pPr>
        <w:rPr>
          <w:shd w:val="clear" w:color="auto" w:fill="FFFFFF"/>
        </w:rPr>
      </w:pPr>
      <w:r w:rsidRPr="0046226E">
        <w:rPr>
          <w:shd w:val="clear" w:color="auto" w:fill="FFFFFF"/>
        </w:rPr>
        <w:t>2 ans</w:t>
      </w:r>
      <w:r w:rsidR="000515AF" w:rsidRPr="0046226E">
        <w:rPr>
          <w:shd w:val="clear" w:color="auto" w:fill="FFFFFF"/>
        </w:rPr>
        <w:t xml:space="preserve"> semblent être une durée </w:t>
      </w:r>
      <w:r w:rsidR="00EF0A02" w:rsidRPr="0046226E">
        <w:rPr>
          <w:shd w:val="clear" w:color="auto" w:fill="FFFFFF"/>
        </w:rPr>
        <w:t>suffisant</w:t>
      </w:r>
      <w:r w:rsidR="000515AF" w:rsidRPr="0046226E">
        <w:rPr>
          <w:shd w:val="clear" w:color="auto" w:fill="FFFFFF"/>
        </w:rPr>
        <w:t>e</w:t>
      </w:r>
      <w:r w:rsidR="00EF0A02" w:rsidRPr="0046226E">
        <w:rPr>
          <w:shd w:val="clear" w:color="auto" w:fill="FFFFFF"/>
        </w:rPr>
        <w:t xml:space="preserve"> pour </w:t>
      </w:r>
      <w:r w:rsidR="000515AF" w:rsidRPr="0046226E">
        <w:rPr>
          <w:shd w:val="clear" w:color="auto" w:fill="FFFFFF"/>
        </w:rPr>
        <w:t xml:space="preserve">réaliser chaque étape correctement et </w:t>
      </w:r>
      <w:r w:rsidR="00EF0A02" w:rsidRPr="0046226E">
        <w:rPr>
          <w:shd w:val="clear" w:color="auto" w:fill="FFFFFF"/>
        </w:rPr>
        <w:t xml:space="preserve">favoriser l’adhésion et </w:t>
      </w:r>
      <w:r w:rsidR="00A93DC9" w:rsidRPr="0046226E">
        <w:rPr>
          <w:shd w:val="clear" w:color="auto" w:fill="FFFFFF"/>
        </w:rPr>
        <w:t>le partage d</w:t>
      </w:r>
      <w:r w:rsidR="00157441">
        <w:rPr>
          <w:shd w:val="clear" w:color="auto" w:fill="FFFFFF"/>
        </w:rPr>
        <w:t>'une</w:t>
      </w:r>
      <w:r w:rsidR="00A93DC9" w:rsidRPr="0046226E">
        <w:rPr>
          <w:shd w:val="clear" w:color="auto" w:fill="FFFFFF"/>
        </w:rPr>
        <w:t xml:space="preserve"> vision</w:t>
      </w:r>
      <w:r w:rsidR="00157441">
        <w:rPr>
          <w:shd w:val="clear" w:color="auto" w:fill="FFFFFF"/>
        </w:rPr>
        <w:t>,</w:t>
      </w:r>
      <w:r w:rsidR="00A93DC9" w:rsidRPr="0046226E">
        <w:rPr>
          <w:shd w:val="clear" w:color="auto" w:fill="FFFFFF"/>
        </w:rPr>
        <w:t xml:space="preserve"> </w:t>
      </w:r>
      <w:r w:rsidR="00F952A1" w:rsidRPr="0046226E">
        <w:rPr>
          <w:shd w:val="clear" w:color="auto" w:fill="FFFFFF"/>
        </w:rPr>
        <w:t xml:space="preserve">notamment </w:t>
      </w:r>
      <w:r w:rsidR="00A93DC9" w:rsidRPr="0046226E">
        <w:rPr>
          <w:shd w:val="clear" w:color="auto" w:fill="FFFFFF"/>
        </w:rPr>
        <w:t>en appui sur des validation</w:t>
      </w:r>
      <w:r w:rsidR="00157441">
        <w:rPr>
          <w:shd w:val="clear" w:color="auto" w:fill="FFFFFF"/>
        </w:rPr>
        <w:t>s</w:t>
      </w:r>
      <w:r w:rsidR="00A93DC9" w:rsidRPr="0046226E">
        <w:rPr>
          <w:shd w:val="clear" w:color="auto" w:fill="FFFFFF"/>
        </w:rPr>
        <w:t xml:space="preserve"> d’étapes territorialisées.</w:t>
      </w:r>
      <w:r w:rsidR="0046226E" w:rsidRPr="0046226E">
        <w:rPr>
          <w:shd w:val="clear" w:color="auto" w:fill="FFFFFF"/>
        </w:rPr>
        <w:t xml:space="preserve"> Ce chronogramme </w:t>
      </w:r>
      <w:r w:rsidR="00F952A1">
        <w:rPr>
          <w:shd w:val="clear" w:color="auto" w:fill="FFFFFF"/>
        </w:rPr>
        <w:t xml:space="preserve">sur 2 ans </w:t>
      </w:r>
      <w:r w:rsidR="00157441">
        <w:rPr>
          <w:shd w:val="clear" w:color="auto" w:fill="FFFFFF"/>
        </w:rPr>
        <w:t>constitue</w:t>
      </w:r>
      <w:r w:rsidR="00157441" w:rsidRPr="0046226E">
        <w:rPr>
          <w:shd w:val="clear" w:color="auto" w:fill="FFFFFF"/>
        </w:rPr>
        <w:t xml:space="preserve"> </w:t>
      </w:r>
      <w:r w:rsidR="0046226E" w:rsidRPr="0046226E">
        <w:rPr>
          <w:shd w:val="clear" w:color="auto" w:fill="FFFFFF"/>
        </w:rPr>
        <w:t xml:space="preserve">donc </w:t>
      </w:r>
      <w:r w:rsidR="00157441">
        <w:rPr>
          <w:shd w:val="clear" w:color="auto" w:fill="FFFFFF"/>
        </w:rPr>
        <w:t xml:space="preserve">la </w:t>
      </w:r>
      <w:r w:rsidR="0046226E" w:rsidRPr="0046226E">
        <w:rPr>
          <w:shd w:val="clear" w:color="auto" w:fill="FFFFFF"/>
        </w:rPr>
        <w:t>version conseillée du transfert.</w:t>
      </w:r>
    </w:p>
    <w:p w14:paraId="1DED7A79" w14:textId="6662D067" w:rsidR="00466F1D" w:rsidRDefault="00157441" w:rsidP="00D531A0">
      <w:pPr>
        <w:rPr>
          <w:shd w:val="clear" w:color="auto" w:fill="FFFFFF"/>
        </w:rPr>
      </w:pPr>
      <w:r>
        <w:rPr>
          <w:shd w:val="clear" w:color="auto" w:fill="FFFFFF"/>
        </w:rPr>
        <w:t xml:space="preserve">Nous avons choisi de représenter l'évolution de ce chronogramme dans un calendrier contraint (1an environ). Mais il est important d'alerter le lecteur sur le fait que ce scénario n'est pas satisfaisant et </w:t>
      </w:r>
      <w:r w:rsidR="008C1C1E">
        <w:rPr>
          <w:shd w:val="clear" w:color="auto" w:fill="FFFFFF"/>
        </w:rPr>
        <w:t xml:space="preserve">de rappeler que </w:t>
      </w:r>
      <w:r>
        <w:rPr>
          <w:shd w:val="clear" w:color="auto" w:fill="FFFFFF"/>
        </w:rPr>
        <w:t xml:space="preserve">la réglementation laisse aujourd'hui la possibilité de prendre le temps nécessaire. </w:t>
      </w:r>
      <w:r w:rsidR="00BA18CC" w:rsidRPr="00BD364D">
        <w:rPr>
          <w:shd w:val="clear" w:color="auto" w:fill="FFFFFF"/>
        </w:rPr>
        <w:t>Pour un transfert avec des échéances contraintes (1an environ),</w:t>
      </w:r>
      <w:r w:rsidR="00EF0A02" w:rsidRPr="00BD364D">
        <w:rPr>
          <w:shd w:val="clear" w:color="auto" w:fill="FFFFFF"/>
        </w:rPr>
        <w:t xml:space="preserve"> </w:t>
      </w:r>
      <w:r w:rsidR="00BA18CC" w:rsidRPr="00BD364D">
        <w:rPr>
          <w:shd w:val="clear" w:color="auto" w:fill="FFFFFF"/>
        </w:rPr>
        <w:t>le scénario de la continuité de service est</w:t>
      </w:r>
      <w:r w:rsidR="000B5019" w:rsidRPr="00BD364D">
        <w:rPr>
          <w:shd w:val="clear" w:color="auto" w:fill="FFFFFF"/>
        </w:rPr>
        <w:t xml:space="preserve"> automatique</w:t>
      </w:r>
      <w:r w:rsidR="00F952A1">
        <w:rPr>
          <w:shd w:val="clear" w:color="auto" w:fill="FFFFFF"/>
        </w:rPr>
        <w:t>ment</w:t>
      </w:r>
      <w:r w:rsidR="000B5019" w:rsidRPr="00BD364D">
        <w:rPr>
          <w:shd w:val="clear" w:color="auto" w:fill="FFFFFF"/>
        </w:rPr>
        <w:t xml:space="preserve"> choisi</w:t>
      </w:r>
      <w:r w:rsidR="00F952A1">
        <w:rPr>
          <w:shd w:val="clear" w:color="auto" w:fill="FFFFFF"/>
        </w:rPr>
        <w:t>, au dépend</w:t>
      </w:r>
      <w:r w:rsidR="00F952A1" w:rsidRPr="00F952A1">
        <w:rPr>
          <w:shd w:val="clear" w:color="auto" w:fill="FFFFFF"/>
        </w:rPr>
        <w:t xml:space="preserve"> </w:t>
      </w:r>
      <w:r w:rsidR="00F952A1" w:rsidRPr="00BD364D">
        <w:rPr>
          <w:shd w:val="clear" w:color="auto" w:fill="FFFFFF"/>
        </w:rPr>
        <w:t xml:space="preserve">de </w:t>
      </w:r>
      <w:r w:rsidR="00F952A1">
        <w:rPr>
          <w:shd w:val="clear" w:color="auto" w:fill="FFFFFF"/>
        </w:rPr>
        <w:t xml:space="preserve">la </w:t>
      </w:r>
      <w:r w:rsidR="00F952A1" w:rsidRPr="00BD364D">
        <w:rPr>
          <w:shd w:val="clear" w:color="auto" w:fill="FFFFFF"/>
        </w:rPr>
        <w:t>re</w:t>
      </w:r>
      <w:r w:rsidR="00F952A1">
        <w:rPr>
          <w:shd w:val="clear" w:color="auto" w:fill="FFFFFF"/>
        </w:rPr>
        <w:t>cherche d’une vision partagée.</w:t>
      </w:r>
      <w:r w:rsidR="000B5019" w:rsidRPr="00BD364D">
        <w:rPr>
          <w:shd w:val="clear" w:color="auto" w:fill="FFFFFF"/>
        </w:rPr>
        <w:t xml:space="preserve"> La </w:t>
      </w:r>
      <w:r w:rsidR="003A437C">
        <w:rPr>
          <w:shd w:val="clear" w:color="auto" w:fill="FFFFFF"/>
        </w:rPr>
        <w:t>majorité</w:t>
      </w:r>
      <w:r w:rsidR="000B5019" w:rsidRPr="00BD364D">
        <w:rPr>
          <w:shd w:val="clear" w:color="auto" w:fill="FFFFFF"/>
        </w:rPr>
        <w:t xml:space="preserve"> des étapes du chronogramme de 2 ans </w:t>
      </w:r>
      <w:r w:rsidR="003A437C">
        <w:rPr>
          <w:shd w:val="clear" w:color="auto" w:fill="FFFFFF"/>
        </w:rPr>
        <w:t>s</w:t>
      </w:r>
      <w:r w:rsidR="00F952A1">
        <w:rPr>
          <w:shd w:val="clear" w:color="auto" w:fill="FFFFFF"/>
        </w:rPr>
        <w:t>ont</w:t>
      </w:r>
      <w:r w:rsidR="003A437C">
        <w:rPr>
          <w:shd w:val="clear" w:color="auto" w:fill="FFFFFF"/>
        </w:rPr>
        <w:t xml:space="preserve"> conservées, elles s</w:t>
      </w:r>
      <w:r w:rsidR="000B5019" w:rsidRPr="00BD364D">
        <w:rPr>
          <w:shd w:val="clear" w:color="auto" w:fill="FFFFFF"/>
        </w:rPr>
        <w:t>ont cependant moins approfondies.</w:t>
      </w:r>
      <w:r w:rsidR="00BA18CC" w:rsidRPr="00BD364D">
        <w:rPr>
          <w:shd w:val="clear" w:color="auto" w:fill="FFFFFF"/>
        </w:rPr>
        <w:t xml:space="preserve"> </w:t>
      </w:r>
      <w:r w:rsidR="000B5019" w:rsidRPr="00BD364D">
        <w:rPr>
          <w:shd w:val="clear" w:color="auto" w:fill="FFFFFF"/>
        </w:rPr>
        <w:t>L</w:t>
      </w:r>
      <w:r w:rsidR="00EF0A02" w:rsidRPr="00BD364D">
        <w:rPr>
          <w:shd w:val="clear" w:color="auto" w:fill="FFFFFF"/>
        </w:rPr>
        <w:t>a communication</w:t>
      </w:r>
      <w:r w:rsidR="000B5019" w:rsidRPr="00BD364D">
        <w:rPr>
          <w:shd w:val="clear" w:color="auto" w:fill="FFFFFF"/>
        </w:rPr>
        <w:t xml:space="preserve">, </w:t>
      </w:r>
      <w:r w:rsidR="00EF0A02" w:rsidRPr="00BD364D">
        <w:rPr>
          <w:shd w:val="clear" w:color="auto" w:fill="FFFFFF"/>
        </w:rPr>
        <w:t>la concertation, ainsi que les restitutions territorialisée</w:t>
      </w:r>
      <w:r w:rsidR="003A437C">
        <w:rPr>
          <w:shd w:val="clear" w:color="auto" w:fill="FFFFFF"/>
        </w:rPr>
        <w:t>s s</w:t>
      </w:r>
      <w:r w:rsidR="000B5019" w:rsidRPr="00BD364D">
        <w:rPr>
          <w:shd w:val="clear" w:color="auto" w:fill="FFFFFF"/>
        </w:rPr>
        <w:t>ont né</w:t>
      </w:r>
      <w:r w:rsidR="00BD364D" w:rsidRPr="00BD364D">
        <w:rPr>
          <w:shd w:val="clear" w:color="auto" w:fill="FFFFFF"/>
        </w:rPr>
        <w:t>gligées. Tout cela risque d’entraîner</w:t>
      </w:r>
      <w:r w:rsidR="00BD364D" w:rsidRPr="00BD364D">
        <w:t xml:space="preserve"> du t</w:t>
      </w:r>
      <w:r w:rsidR="00BD364D" w:rsidRPr="00BD364D">
        <w:rPr>
          <w:shd w:val="clear" w:color="auto" w:fill="FFFFFF"/>
        </w:rPr>
        <w:t>ravail en urgence en condition de stress, la non</w:t>
      </w:r>
      <w:r w:rsidR="00F952A1">
        <w:rPr>
          <w:shd w:val="clear" w:color="auto" w:fill="FFFFFF"/>
        </w:rPr>
        <w:t>-</w:t>
      </w:r>
      <w:r w:rsidR="00BD364D" w:rsidRPr="00BD364D">
        <w:rPr>
          <w:shd w:val="clear" w:color="auto" w:fill="FFFFFF"/>
        </w:rPr>
        <w:t>adhésion au transfert, la complexification des relations humaines et des impacts financiers</w:t>
      </w:r>
      <w:r w:rsidR="00A93DC9" w:rsidRPr="00BD364D">
        <w:rPr>
          <w:shd w:val="clear" w:color="auto" w:fill="FFFFFF"/>
        </w:rPr>
        <w:t>.</w:t>
      </w:r>
      <w:r w:rsidR="000B5019" w:rsidRPr="00BD364D">
        <w:rPr>
          <w:shd w:val="clear" w:color="auto" w:fill="FFFFFF"/>
        </w:rPr>
        <w:t xml:space="preserve"> De plus</w:t>
      </w:r>
      <w:r w:rsidR="00F952A1">
        <w:rPr>
          <w:shd w:val="clear" w:color="auto" w:fill="FFFFFF"/>
        </w:rPr>
        <w:t>,</w:t>
      </w:r>
      <w:r w:rsidR="000B5019" w:rsidRPr="00BD364D">
        <w:rPr>
          <w:shd w:val="clear" w:color="auto" w:fill="FFFFFF"/>
        </w:rPr>
        <w:t xml:space="preserve"> les études de scénarios et d’harmonisation du service sur le territoire seront ensuite essentielles à la bonne gestion de l’eau et demanderont </w:t>
      </w:r>
      <w:r w:rsidR="00BD364D" w:rsidRPr="00BD364D">
        <w:rPr>
          <w:shd w:val="clear" w:color="auto" w:fill="FFFFFF"/>
        </w:rPr>
        <w:t>le doublement de certaines étapes. Au final</w:t>
      </w:r>
      <w:r w:rsidR="00F952A1">
        <w:rPr>
          <w:shd w:val="clear" w:color="auto" w:fill="FFFFFF"/>
        </w:rPr>
        <w:t xml:space="preserve"> et au regard des retours d'expériences mobilisés dans la construction de ce chronogramme</w:t>
      </w:r>
      <w:r w:rsidR="00BD364D" w:rsidRPr="00BD364D">
        <w:rPr>
          <w:shd w:val="clear" w:color="auto" w:fill="FFFFFF"/>
        </w:rPr>
        <w:t>, il n’y a pas de gain de temps à vouloir réaliser un transfert dans un temps réduit.</w:t>
      </w:r>
    </w:p>
    <w:p w14:paraId="229042E5" w14:textId="30BD7FED" w:rsidR="008C1C1E" w:rsidRDefault="008C1C1E" w:rsidP="008C1C1E">
      <w:pPr>
        <w:rPr>
          <w:shd w:val="clear" w:color="auto" w:fill="FFFFFF"/>
        </w:rPr>
      </w:pPr>
      <w:r>
        <w:rPr>
          <w:shd w:val="clear" w:color="auto" w:fill="FFFFFF"/>
        </w:rPr>
        <w:t>Enfin, nous soulignerons que</w:t>
      </w:r>
      <w:r w:rsidRPr="008C1C1E">
        <w:rPr>
          <w:shd w:val="clear" w:color="auto" w:fill="FFFFFF"/>
        </w:rPr>
        <w:t xml:space="preserve"> l</w:t>
      </w:r>
      <w:r>
        <w:rPr>
          <w:shd w:val="clear" w:color="auto" w:fill="FFFFFF"/>
        </w:rPr>
        <w:t xml:space="preserve">'étude du </w:t>
      </w:r>
      <w:r w:rsidRPr="008C1C1E">
        <w:rPr>
          <w:shd w:val="clear" w:color="auto" w:fill="FFFFFF"/>
        </w:rPr>
        <w:t>transfert de</w:t>
      </w:r>
      <w:r>
        <w:rPr>
          <w:shd w:val="clear" w:color="auto" w:fill="FFFFFF"/>
        </w:rPr>
        <w:t>s</w:t>
      </w:r>
      <w:r w:rsidRPr="008C1C1E">
        <w:rPr>
          <w:shd w:val="clear" w:color="auto" w:fill="FFFFFF"/>
        </w:rPr>
        <w:t xml:space="preserve"> </w:t>
      </w:r>
      <w:r w:rsidR="003A437C" w:rsidRPr="008C1C1E">
        <w:rPr>
          <w:shd w:val="clear" w:color="auto" w:fill="FFFFFF"/>
        </w:rPr>
        <w:t>compétence</w:t>
      </w:r>
      <w:r w:rsidR="003A437C">
        <w:rPr>
          <w:shd w:val="clear" w:color="auto" w:fill="FFFFFF"/>
        </w:rPr>
        <w:t>s</w:t>
      </w:r>
      <w:r w:rsidR="003A437C" w:rsidRPr="008C1C1E">
        <w:rPr>
          <w:shd w:val="clear" w:color="auto" w:fill="FFFFFF"/>
        </w:rPr>
        <w:t>,</w:t>
      </w:r>
      <w:r w:rsidRPr="008C1C1E">
        <w:rPr>
          <w:shd w:val="clear" w:color="auto" w:fill="FFFFFF"/>
        </w:rPr>
        <w:t xml:space="preserve"> géré</w:t>
      </w:r>
      <w:r>
        <w:rPr>
          <w:shd w:val="clear" w:color="auto" w:fill="FFFFFF"/>
        </w:rPr>
        <w:t>e</w:t>
      </w:r>
      <w:r w:rsidRPr="008C1C1E">
        <w:rPr>
          <w:shd w:val="clear" w:color="auto" w:fill="FFFFFF"/>
        </w:rPr>
        <w:t xml:space="preserve"> </w:t>
      </w:r>
      <w:r>
        <w:rPr>
          <w:shd w:val="clear" w:color="auto" w:fill="FFFFFF"/>
        </w:rPr>
        <w:t xml:space="preserve">en mode projet, ne doit être que le début de cette animation et concertation avec les agents et les élus des collectivités. </w:t>
      </w:r>
      <w:r w:rsidR="003A437C">
        <w:rPr>
          <w:shd w:val="clear" w:color="auto" w:fill="FFFFFF"/>
        </w:rPr>
        <w:t>Ce</w:t>
      </w:r>
      <w:r>
        <w:rPr>
          <w:shd w:val="clear" w:color="auto" w:fill="FFFFFF"/>
        </w:rPr>
        <w:t xml:space="preserve"> projet </w:t>
      </w:r>
      <w:r w:rsidRPr="008C1C1E">
        <w:rPr>
          <w:shd w:val="clear" w:color="auto" w:fill="FFFFFF"/>
        </w:rPr>
        <w:t>ne s’arrête pas à la date d’effet du transfert</w:t>
      </w:r>
      <w:r w:rsidR="0078353C">
        <w:rPr>
          <w:shd w:val="clear" w:color="auto" w:fill="FFFFFF"/>
        </w:rPr>
        <w:t>. En effet, les enjeux et le caractère transversal des compétences eau et assainissement rendent nécessaires les échanges et l</w:t>
      </w:r>
      <w:r>
        <w:rPr>
          <w:shd w:val="clear" w:color="auto" w:fill="FFFFFF"/>
        </w:rPr>
        <w:t>a mobilisation des agents et des élus des collectivités, suscitée au moment de l'étude</w:t>
      </w:r>
      <w:r w:rsidRPr="008C1C1E">
        <w:rPr>
          <w:shd w:val="clear" w:color="auto" w:fill="FFFFFF"/>
        </w:rPr>
        <w:t>.</w:t>
      </w:r>
    </w:p>
    <w:p w14:paraId="65D13C8C" w14:textId="7B8FBC43" w:rsidR="00D15E9A" w:rsidRDefault="00212DC7" w:rsidP="00002B17">
      <w:pPr>
        <w:spacing w:after="240"/>
        <w:rPr>
          <w:shd w:val="clear" w:color="auto" w:fill="FFFFFF"/>
        </w:rPr>
      </w:pPr>
      <w:r>
        <w:rPr>
          <w:shd w:val="clear" w:color="auto" w:fill="FFFFFF"/>
        </w:rPr>
        <w:t>D’</w:t>
      </w:r>
      <w:r w:rsidR="00D15E9A">
        <w:rPr>
          <w:shd w:val="clear" w:color="auto" w:fill="FFFFFF"/>
        </w:rPr>
        <w:t xml:space="preserve">autres productions du Graie ont été </w:t>
      </w:r>
      <w:r>
        <w:rPr>
          <w:shd w:val="clear" w:color="auto" w:fill="FFFFFF"/>
        </w:rPr>
        <w:t>fléchées</w:t>
      </w:r>
      <w:r w:rsidR="00D15E9A">
        <w:rPr>
          <w:shd w:val="clear" w:color="auto" w:fill="FFFFFF"/>
        </w:rPr>
        <w:t xml:space="preserve"> </w:t>
      </w:r>
      <w:r w:rsidR="00C92762">
        <w:rPr>
          <w:shd w:val="clear" w:color="auto" w:fill="FFFFFF"/>
        </w:rPr>
        <w:t xml:space="preserve">afin </w:t>
      </w:r>
      <w:r w:rsidR="00D15E9A">
        <w:rPr>
          <w:shd w:val="clear" w:color="auto" w:fill="FFFFFF"/>
        </w:rPr>
        <w:t xml:space="preserve">de vous appuyer </w:t>
      </w:r>
      <w:r w:rsidR="00C92762">
        <w:rPr>
          <w:shd w:val="clear" w:color="auto" w:fill="FFFFFF"/>
        </w:rPr>
        <w:t>lors</w:t>
      </w:r>
      <w:r w:rsidR="00D15E9A">
        <w:rPr>
          <w:shd w:val="clear" w:color="auto" w:fill="FFFFFF"/>
        </w:rPr>
        <w:t xml:space="preserve"> </w:t>
      </w:r>
      <w:r w:rsidR="00C92762">
        <w:rPr>
          <w:shd w:val="clear" w:color="auto" w:fill="FFFFFF"/>
        </w:rPr>
        <w:t>d</w:t>
      </w:r>
      <w:r w:rsidR="00F952A1">
        <w:rPr>
          <w:shd w:val="clear" w:color="auto" w:fill="FFFFFF"/>
        </w:rPr>
        <w:t xml:space="preserve">e certaines </w:t>
      </w:r>
      <w:r w:rsidR="00D15E9A">
        <w:rPr>
          <w:shd w:val="clear" w:color="auto" w:fill="FFFFFF"/>
        </w:rPr>
        <w:t>étapes clés :</w:t>
      </w:r>
    </w:p>
    <w:p w14:paraId="675E0D09" w14:textId="1F305971" w:rsidR="00002B17" w:rsidRDefault="00002B17" w:rsidP="00F952A1">
      <w:pPr>
        <w:spacing w:before="0" w:after="240" w:line="276" w:lineRule="auto"/>
        <w:ind w:left="426" w:hanging="426"/>
      </w:pPr>
      <w:r w:rsidRPr="00C92762">
        <w:rPr>
          <w:noProof/>
          <w:lang w:eastAsia="fr-FR" w:bidi="ar-SA"/>
        </w:rPr>
        <w:drawing>
          <wp:inline distT="0" distB="0" distL="0" distR="0" wp14:anchorId="0B07ADE9" wp14:editId="1648F6B2">
            <wp:extent cx="234000" cy="234000"/>
            <wp:effectExtent l="0" t="0" r="0" b="0"/>
            <wp:docPr id="2" name="Image 14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Image 14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000" cy="234000"/>
                    </a:xfrm>
                    <a:prstGeom prst="rect">
                      <a:avLst/>
                    </a:prstGeom>
                  </pic:spPr>
                </pic:pic>
              </a:graphicData>
            </a:graphic>
          </wp:inline>
        </w:drawing>
      </w:r>
      <w:r>
        <w:t xml:space="preserve"> </w:t>
      </w:r>
      <w:hyperlink r:id="rId11" w:history="1">
        <w:r w:rsidRPr="00090F03">
          <w:rPr>
            <w:rStyle w:val="Lienhypertexte"/>
            <w:b/>
          </w:rPr>
          <w:t>Trame pour l’élaboration du Cahier des Clauses Techniques Particulières (C.C.T.P.) d’une étude préalable au transfert de la compétence eau potable/assainissement/gestion des eaux pluviales urbaines (GEPU)</w:t>
        </w:r>
        <w:r w:rsidRPr="00090F03">
          <w:rPr>
            <w:rStyle w:val="Lienhypertexte"/>
          </w:rPr>
          <w:t xml:space="preserve"> (</w:t>
        </w:r>
        <w:r w:rsidRPr="00090F03">
          <w:rPr>
            <w:rStyle w:val="Lienhypertexte"/>
            <w:b/>
          </w:rPr>
          <w:t>décembre 2019</w:t>
        </w:r>
        <w:r w:rsidRPr="00090F03">
          <w:rPr>
            <w:rStyle w:val="Lienhypertexte"/>
          </w:rPr>
          <w:t>)</w:t>
        </w:r>
      </w:hyperlink>
      <w:r>
        <w:t>. Cette trame pour l’élaboration d’un CCTP expose et précise les différentes étapes que peut contenir une étude de transfert des compétences eau/assainissement/pluvial urbain. Elle présente une possibilité de contenu d’une telle étude, de manière non exhaustive. Elle peut être considérée comme une boite à outils à mobiliser en tant que de besoin, pour rédiger un CCTP.</w:t>
      </w:r>
    </w:p>
    <w:p w14:paraId="2B486308" w14:textId="07CDBC10" w:rsidR="00A61000" w:rsidRPr="00A61000" w:rsidRDefault="00A61000" w:rsidP="00F952A1">
      <w:pPr>
        <w:spacing w:before="0" w:after="240" w:line="276" w:lineRule="auto"/>
        <w:ind w:left="426" w:hanging="426"/>
        <w:rPr>
          <w:b/>
        </w:rPr>
      </w:pPr>
      <w:r w:rsidRPr="00C92762">
        <w:rPr>
          <w:noProof/>
          <w:lang w:eastAsia="fr-FR" w:bidi="ar-SA"/>
        </w:rPr>
        <w:drawing>
          <wp:inline distT="0" distB="0" distL="0" distR="0" wp14:anchorId="2FD2CA70" wp14:editId="152024EE">
            <wp:extent cx="234000" cy="234000"/>
            <wp:effectExtent l="0" t="0" r="0" b="0"/>
            <wp:docPr id="3" name="Image 14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Image 14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000" cy="234000"/>
                    </a:xfrm>
                    <a:prstGeom prst="rect">
                      <a:avLst/>
                    </a:prstGeom>
                  </pic:spPr>
                </pic:pic>
              </a:graphicData>
            </a:graphic>
          </wp:inline>
        </w:drawing>
      </w:r>
      <w:r>
        <w:t xml:space="preserve"> </w:t>
      </w:r>
      <w:r w:rsidRPr="00A61000">
        <w:rPr>
          <w:b/>
        </w:rPr>
        <w:t xml:space="preserve">- </w:t>
      </w:r>
      <w:hyperlink r:id="rId13" w:history="1">
        <w:r w:rsidRPr="00090F03">
          <w:rPr>
            <w:rStyle w:val="Lienhypertexte"/>
            <w:b/>
          </w:rPr>
          <w:t>Grilles d’aide à la définition de la compétence « gestion des eaux pluvia</w:t>
        </w:r>
        <w:r w:rsidR="00090F03" w:rsidRPr="00090F03">
          <w:rPr>
            <w:rStyle w:val="Lienhypertexte"/>
            <w:b/>
          </w:rPr>
          <w:t xml:space="preserve">les urbaines » </w:t>
        </w:r>
        <w:r w:rsidRPr="00090F03">
          <w:rPr>
            <w:rStyle w:val="Lienhypertexte"/>
            <w:b/>
          </w:rPr>
          <w:t>(mai 2019) –</w:t>
        </w:r>
      </w:hyperlink>
      <w:r>
        <w:rPr>
          <w:b/>
        </w:rPr>
        <w:t xml:space="preserve"> </w:t>
      </w:r>
      <w:r w:rsidRPr="00A61000">
        <w:t>3 dimensions analysées pour une décision éclairée : le patrimoine concerné (les ouvrages), les missions exercées et le périmètre géographique.</w:t>
      </w:r>
    </w:p>
    <w:p w14:paraId="22C90E63" w14:textId="5ECCEADB" w:rsidR="00002B17" w:rsidRDefault="00002B17" w:rsidP="00F952A1">
      <w:pPr>
        <w:spacing w:before="0" w:after="200" w:line="276" w:lineRule="auto"/>
        <w:jc w:val="left"/>
      </w:pPr>
      <w:r>
        <w:t>Pour aller plus loin :</w:t>
      </w:r>
    </w:p>
    <w:p w14:paraId="683E73BE" w14:textId="539A0B4C" w:rsidR="00C92762" w:rsidRDefault="00C92762" w:rsidP="00F952A1">
      <w:pPr>
        <w:spacing w:before="0" w:after="200" w:line="276" w:lineRule="auto"/>
        <w:ind w:left="426" w:hanging="426"/>
      </w:pPr>
      <w:r w:rsidRPr="00C92762">
        <w:rPr>
          <w:noProof/>
          <w:lang w:eastAsia="fr-FR" w:bidi="ar-SA"/>
        </w:rPr>
        <w:drawing>
          <wp:inline distT="0" distB="0" distL="0" distR="0" wp14:anchorId="1E0A83E9" wp14:editId="14734874">
            <wp:extent cx="234000" cy="234000"/>
            <wp:effectExtent l="0" t="0" r="0" b="0"/>
            <wp:docPr id="145" name="Image 14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Image 14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000" cy="234000"/>
                    </a:xfrm>
                    <a:prstGeom prst="rect">
                      <a:avLst/>
                    </a:prstGeom>
                  </pic:spPr>
                </pic:pic>
              </a:graphicData>
            </a:graphic>
          </wp:inline>
        </w:drawing>
      </w:r>
      <w:r w:rsidR="00002B17">
        <w:t xml:space="preserve"> </w:t>
      </w:r>
      <w:hyperlink r:id="rId15" w:history="1">
        <w:r w:rsidRPr="00090F03">
          <w:rPr>
            <w:rStyle w:val="Lienhypertexte"/>
            <w:b/>
          </w:rPr>
          <w:t>Listes des supports et outils pédagogiques du Graie sur les thématiques eaux pluviales et compétences</w:t>
        </w:r>
      </w:hyperlink>
    </w:p>
    <w:sectPr w:rsidR="00C92762" w:rsidSect="00AD0BC9">
      <w:headerReference w:type="default" r:id="rId16"/>
      <w:footerReference w:type="default" r:id="rId17"/>
      <w:headerReference w:type="first" r:id="rId18"/>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032BC" w14:textId="77777777" w:rsidR="00613B36" w:rsidRDefault="00613B36" w:rsidP="00727410">
      <w:r>
        <w:separator/>
      </w:r>
    </w:p>
  </w:endnote>
  <w:endnote w:type="continuationSeparator" w:id="0">
    <w:p w14:paraId="3123070E" w14:textId="77777777" w:rsidR="00613B36" w:rsidRDefault="00613B36" w:rsidP="00727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Plus">
    <w:panose1 w:val="02000903090000020004"/>
    <w:charset w:val="00"/>
    <w:family w:val="auto"/>
    <w:pitch w:val="variable"/>
    <w:sig w:usb0="A00000AF" w:usb1="40002048" w:usb2="00000000" w:usb3="00000000" w:csb0="00000111"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463857"/>
      <w:docPartObj>
        <w:docPartGallery w:val="Page Numbers (Bottom of Page)"/>
        <w:docPartUnique/>
      </w:docPartObj>
    </w:sdtPr>
    <w:sdtEndPr/>
    <w:sdtContent>
      <w:p w14:paraId="294CA01F" w14:textId="27CCC436" w:rsidR="00A61000" w:rsidRDefault="00A61000">
        <w:pPr>
          <w:pStyle w:val="Pieddepage"/>
          <w:jc w:val="right"/>
        </w:pPr>
        <w:r>
          <w:fldChar w:fldCharType="begin"/>
        </w:r>
        <w:r>
          <w:instrText>PAGE   \* MERGEFORMAT</w:instrText>
        </w:r>
        <w:r>
          <w:fldChar w:fldCharType="separate"/>
        </w:r>
        <w:r w:rsidR="002F6D63">
          <w:rPr>
            <w:noProof/>
          </w:rPr>
          <w:t>2</w:t>
        </w:r>
        <w:r>
          <w:fldChar w:fldCharType="end"/>
        </w:r>
      </w:p>
    </w:sdtContent>
  </w:sdt>
  <w:p w14:paraId="147512D0" w14:textId="188AF5BB" w:rsidR="0046427E" w:rsidRPr="005268D1" w:rsidRDefault="00A61000">
    <w:pPr>
      <w:pStyle w:val="Pieddepage"/>
      <w:rPr>
        <w:color w:val="007CBF"/>
      </w:rPr>
    </w:pPr>
    <w:r>
      <w:rPr>
        <w:color w:val="007CBF"/>
      </w:rPr>
      <w:t>Chronogramme du transfert de compétence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FEC1A5" w14:textId="77777777" w:rsidR="00613B36" w:rsidRDefault="00613B36" w:rsidP="00727410">
      <w:r>
        <w:separator/>
      </w:r>
    </w:p>
  </w:footnote>
  <w:footnote w:type="continuationSeparator" w:id="0">
    <w:p w14:paraId="5C70A279" w14:textId="77777777" w:rsidR="00613B36" w:rsidRDefault="00613B36" w:rsidP="0072741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EF7C8" w14:textId="50990F46" w:rsidR="0046427E" w:rsidRDefault="0046427E" w:rsidP="005268D1">
    <w:pPr>
      <w:pStyle w:val="En-tte"/>
      <w:jc w:val="right"/>
      <w:rPr>
        <w:color w:val="007CBF"/>
        <w:sz w:val="16"/>
      </w:rPr>
    </w:pPr>
    <w:r w:rsidRPr="005268D1">
      <w:rPr>
        <w:color w:val="007CBF"/>
        <w:sz w:val="16"/>
      </w:rPr>
      <w:t>Groupe de travail "</w:t>
    </w:r>
    <w:r w:rsidR="00CF0D2C">
      <w:rPr>
        <w:color w:val="007CBF"/>
        <w:sz w:val="16"/>
      </w:rPr>
      <w:t>Transfert des compétences eau et assainissement</w:t>
    </w:r>
    <w:r w:rsidRPr="005268D1">
      <w:rPr>
        <w:color w:val="007CBF"/>
        <w:sz w:val="16"/>
      </w:rPr>
      <w:t>"</w:t>
    </w:r>
    <w:r w:rsidR="00203D08">
      <w:rPr>
        <w:color w:val="007CBF"/>
        <w:sz w:val="16"/>
      </w:rPr>
      <w:t xml:space="preserve"> </w:t>
    </w:r>
    <w:r w:rsidR="00203D08">
      <w:rPr>
        <w:color w:val="007CBF"/>
        <w:sz w:val="16"/>
      </w:rPr>
      <w:tab/>
    </w:r>
    <w:r w:rsidR="00D15E9A">
      <w:rPr>
        <w:color w:val="007CBF"/>
        <w:sz w:val="16"/>
      </w:rPr>
      <w:t>juin 2020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C3714" w14:textId="539680ED" w:rsidR="0046427E" w:rsidRDefault="00CA0BD3" w:rsidP="00CA0BD3">
    <w:pPr>
      <w:pStyle w:val="En-tte"/>
      <w:tabs>
        <w:tab w:val="clear" w:pos="4536"/>
        <w:tab w:val="clear" w:pos="9072"/>
        <w:tab w:val="left" w:pos="3360"/>
      </w:tabs>
    </w:pPr>
    <w:r w:rsidRPr="00CA0BD3">
      <w:rPr>
        <w:noProof/>
        <w:lang w:eastAsia="fr-FR" w:bidi="ar-SA"/>
      </w:rPr>
      <w:drawing>
        <wp:anchor distT="0" distB="0" distL="114300" distR="114300" simplePos="0" relativeHeight="251658240" behindDoc="1" locked="0" layoutInCell="1" allowOverlap="1" wp14:anchorId="411F6C7A" wp14:editId="43F7FFE9">
          <wp:simplePos x="0" y="0"/>
          <wp:positionH relativeFrom="column">
            <wp:posOffset>-915670</wp:posOffset>
          </wp:positionH>
          <wp:positionV relativeFrom="paragraph">
            <wp:posOffset>-488315</wp:posOffset>
          </wp:positionV>
          <wp:extent cx="7604760" cy="10759510"/>
          <wp:effectExtent l="0" t="0" r="0" b="3810"/>
          <wp:wrapNone/>
          <wp:docPr id="1" name="Image 1" descr="Z:\1equipe-graie\1Reseaux\Competences\ENTETE GT CR Comp 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1equipe-graie\1Reseaux\Competences\ENTETE GT CR Comp C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05246" cy="10760198"/>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C2D33"/>
    <w:multiLevelType w:val="hybridMultilevel"/>
    <w:tmpl w:val="976474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6023A61"/>
    <w:multiLevelType w:val="hybridMultilevel"/>
    <w:tmpl w:val="D18691F6"/>
    <w:lvl w:ilvl="0" w:tplc="040C0005">
      <w:start w:val="1"/>
      <w:numFmt w:val="bullet"/>
      <w:lvlText w:val=""/>
      <w:lvlJc w:val="left"/>
      <w:pPr>
        <w:ind w:left="786" w:hanging="360"/>
      </w:pPr>
      <w:rPr>
        <w:rFonts w:ascii="Wingdings" w:hAnsi="Wingdings" w:hint="default"/>
      </w:rPr>
    </w:lvl>
    <w:lvl w:ilvl="1" w:tplc="91420F14">
      <w:numFmt w:val="bullet"/>
      <w:lvlText w:val="•"/>
      <w:lvlJc w:val="left"/>
      <w:pPr>
        <w:ind w:left="1506" w:hanging="360"/>
      </w:pPr>
      <w:rPr>
        <w:rFonts w:ascii="Georgia" w:eastAsia="Times New Roman" w:hAnsi="Georgia" w:cs="Times New Roman"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 w15:restartNumberingAfterBreak="0">
    <w:nsid w:val="08623A83"/>
    <w:multiLevelType w:val="hybridMultilevel"/>
    <w:tmpl w:val="00FCFCE4"/>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3" w15:restartNumberingAfterBreak="0">
    <w:nsid w:val="0BA02726"/>
    <w:multiLevelType w:val="hybridMultilevel"/>
    <w:tmpl w:val="319CAE46"/>
    <w:lvl w:ilvl="0" w:tplc="5C8E3B36">
      <w:numFmt w:val="bullet"/>
      <w:lvlText w:val="-"/>
      <w:lvlJc w:val="left"/>
      <w:pPr>
        <w:ind w:left="1068" w:hanging="360"/>
      </w:pPr>
      <w:rPr>
        <w:rFonts w:ascii="Georgia" w:eastAsia="Times New Roman" w:hAnsi="Georgia" w:cs="Times New Roman" w:hint="default"/>
      </w:rPr>
    </w:lvl>
    <w:lvl w:ilvl="1" w:tplc="040C0003" w:tentative="1">
      <w:start w:val="1"/>
      <w:numFmt w:val="bullet"/>
      <w:lvlText w:val="o"/>
      <w:lvlJc w:val="left"/>
      <w:pPr>
        <w:ind w:left="730" w:hanging="360"/>
      </w:pPr>
      <w:rPr>
        <w:rFonts w:ascii="Courier New" w:hAnsi="Courier New" w:cs="Courier New" w:hint="default"/>
      </w:rPr>
    </w:lvl>
    <w:lvl w:ilvl="2" w:tplc="040C0005" w:tentative="1">
      <w:start w:val="1"/>
      <w:numFmt w:val="bullet"/>
      <w:lvlText w:val=""/>
      <w:lvlJc w:val="left"/>
      <w:pPr>
        <w:ind w:left="1450" w:hanging="360"/>
      </w:pPr>
      <w:rPr>
        <w:rFonts w:ascii="Wingdings" w:hAnsi="Wingdings" w:hint="default"/>
      </w:rPr>
    </w:lvl>
    <w:lvl w:ilvl="3" w:tplc="040C0001" w:tentative="1">
      <w:start w:val="1"/>
      <w:numFmt w:val="bullet"/>
      <w:lvlText w:val=""/>
      <w:lvlJc w:val="left"/>
      <w:pPr>
        <w:ind w:left="2170" w:hanging="360"/>
      </w:pPr>
      <w:rPr>
        <w:rFonts w:ascii="Symbol" w:hAnsi="Symbol" w:hint="default"/>
      </w:rPr>
    </w:lvl>
    <w:lvl w:ilvl="4" w:tplc="040C0003" w:tentative="1">
      <w:start w:val="1"/>
      <w:numFmt w:val="bullet"/>
      <w:lvlText w:val="o"/>
      <w:lvlJc w:val="left"/>
      <w:pPr>
        <w:ind w:left="2890" w:hanging="360"/>
      </w:pPr>
      <w:rPr>
        <w:rFonts w:ascii="Courier New" w:hAnsi="Courier New" w:cs="Courier New" w:hint="default"/>
      </w:rPr>
    </w:lvl>
    <w:lvl w:ilvl="5" w:tplc="040C0005" w:tentative="1">
      <w:start w:val="1"/>
      <w:numFmt w:val="bullet"/>
      <w:lvlText w:val=""/>
      <w:lvlJc w:val="left"/>
      <w:pPr>
        <w:ind w:left="3610" w:hanging="360"/>
      </w:pPr>
      <w:rPr>
        <w:rFonts w:ascii="Wingdings" w:hAnsi="Wingdings" w:hint="default"/>
      </w:rPr>
    </w:lvl>
    <w:lvl w:ilvl="6" w:tplc="040C0001" w:tentative="1">
      <w:start w:val="1"/>
      <w:numFmt w:val="bullet"/>
      <w:lvlText w:val=""/>
      <w:lvlJc w:val="left"/>
      <w:pPr>
        <w:ind w:left="4330" w:hanging="360"/>
      </w:pPr>
      <w:rPr>
        <w:rFonts w:ascii="Symbol" w:hAnsi="Symbol" w:hint="default"/>
      </w:rPr>
    </w:lvl>
    <w:lvl w:ilvl="7" w:tplc="040C0003" w:tentative="1">
      <w:start w:val="1"/>
      <w:numFmt w:val="bullet"/>
      <w:lvlText w:val="o"/>
      <w:lvlJc w:val="left"/>
      <w:pPr>
        <w:ind w:left="5050" w:hanging="360"/>
      </w:pPr>
      <w:rPr>
        <w:rFonts w:ascii="Courier New" w:hAnsi="Courier New" w:cs="Courier New" w:hint="default"/>
      </w:rPr>
    </w:lvl>
    <w:lvl w:ilvl="8" w:tplc="040C0005" w:tentative="1">
      <w:start w:val="1"/>
      <w:numFmt w:val="bullet"/>
      <w:lvlText w:val=""/>
      <w:lvlJc w:val="left"/>
      <w:pPr>
        <w:ind w:left="5770" w:hanging="360"/>
      </w:pPr>
      <w:rPr>
        <w:rFonts w:ascii="Wingdings" w:hAnsi="Wingdings" w:hint="default"/>
      </w:rPr>
    </w:lvl>
  </w:abstractNum>
  <w:abstractNum w:abstractNumId="4" w15:restartNumberingAfterBreak="0">
    <w:nsid w:val="0FA54D5A"/>
    <w:multiLevelType w:val="hybridMultilevel"/>
    <w:tmpl w:val="0A164D34"/>
    <w:lvl w:ilvl="0" w:tplc="93DAA7C6">
      <w:start w:val="19"/>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684FCB"/>
    <w:multiLevelType w:val="hybridMultilevel"/>
    <w:tmpl w:val="E0AE36B2"/>
    <w:lvl w:ilvl="0" w:tplc="CDE2EF9E">
      <w:start w:val="1"/>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37277"/>
    <w:multiLevelType w:val="hybridMultilevel"/>
    <w:tmpl w:val="345890CA"/>
    <w:lvl w:ilvl="0" w:tplc="040C0001">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7" w15:restartNumberingAfterBreak="0">
    <w:nsid w:val="144C5AEC"/>
    <w:multiLevelType w:val="hybridMultilevel"/>
    <w:tmpl w:val="DE0E79A8"/>
    <w:lvl w:ilvl="0" w:tplc="5C8E3B36">
      <w:numFmt w:val="bullet"/>
      <w:lvlText w:val="-"/>
      <w:lvlJc w:val="left"/>
      <w:pPr>
        <w:ind w:left="1778" w:hanging="360"/>
      </w:pPr>
      <w:rPr>
        <w:rFonts w:ascii="Georgia" w:eastAsia="Times New Roman" w:hAnsi="Georgia"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8" w15:restartNumberingAfterBreak="0">
    <w:nsid w:val="146232DA"/>
    <w:multiLevelType w:val="hybridMultilevel"/>
    <w:tmpl w:val="45240654"/>
    <w:lvl w:ilvl="0" w:tplc="20F6EBD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AA790B"/>
    <w:multiLevelType w:val="hybridMultilevel"/>
    <w:tmpl w:val="EB06E264"/>
    <w:lvl w:ilvl="0" w:tplc="040C0001">
      <w:start w:val="1"/>
      <w:numFmt w:val="bullet"/>
      <w:lvlText w:val=""/>
      <w:lvlJc w:val="left"/>
      <w:pPr>
        <w:ind w:left="6" w:hanging="360"/>
      </w:pPr>
      <w:rPr>
        <w:rFonts w:ascii="Symbol" w:hAnsi="Symbol" w:hint="default"/>
      </w:rPr>
    </w:lvl>
    <w:lvl w:ilvl="1" w:tplc="040C0003" w:tentative="1">
      <w:start w:val="1"/>
      <w:numFmt w:val="bullet"/>
      <w:lvlText w:val="o"/>
      <w:lvlJc w:val="left"/>
      <w:pPr>
        <w:ind w:left="726" w:hanging="360"/>
      </w:pPr>
      <w:rPr>
        <w:rFonts w:ascii="Courier New" w:hAnsi="Courier New" w:cs="Courier New" w:hint="default"/>
      </w:rPr>
    </w:lvl>
    <w:lvl w:ilvl="2" w:tplc="040C0005" w:tentative="1">
      <w:start w:val="1"/>
      <w:numFmt w:val="bullet"/>
      <w:lvlText w:val=""/>
      <w:lvlJc w:val="left"/>
      <w:pPr>
        <w:ind w:left="1446" w:hanging="360"/>
      </w:pPr>
      <w:rPr>
        <w:rFonts w:ascii="Wingdings" w:hAnsi="Wingdings" w:hint="default"/>
      </w:rPr>
    </w:lvl>
    <w:lvl w:ilvl="3" w:tplc="040C0001" w:tentative="1">
      <w:start w:val="1"/>
      <w:numFmt w:val="bullet"/>
      <w:lvlText w:val=""/>
      <w:lvlJc w:val="left"/>
      <w:pPr>
        <w:ind w:left="2166" w:hanging="360"/>
      </w:pPr>
      <w:rPr>
        <w:rFonts w:ascii="Symbol" w:hAnsi="Symbol" w:hint="default"/>
      </w:rPr>
    </w:lvl>
    <w:lvl w:ilvl="4" w:tplc="040C0003" w:tentative="1">
      <w:start w:val="1"/>
      <w:numFmt w:val="bullet"/>
      <w:lvlText w:val="o"/>
      <w:lvlJc w:val="left"/>
      <w:pPr>
        <w:ind w:left="2886" w:hanging="360"/>
      </w:pPr>
      <w:rPr>
        <w:rFonts w:ascii="Courier New" w:hAnsi="Courier New" w:cs="Courier New" w:hint="default"/>
      </w:rPr>
    </w:lvl>
    <w:lvl w:ilvl="5" w:tplc="040C0005" w:tentative="1">
      <w:start w:val="1"/>
      <w:numFmt w:val="bullet"/>
      <w:lvlText w:val=""/>
      <w:lvlJc w:val="left"/>
      <w:pPr>
        <w:ind w:left="3606" w:hanging="360"/>
      </w:pPr>
      <w:rPr>
        <w:rFonts w:ascii="Wingdings" w:hAnsi="Wingdings" w:hint="default"/>
      </w:rPr>
    </w:lvl>
    <w:lvl w:ilvl="6" w:tplc="040C0001" w:tentative="1">
      <w:start w:val="1"/>
      <w:numFmt w:val="bullet"/>
      <w:lvlText w:val=""/>
      <w:lvlJc w:val="left"/>
      <w:pPr>
        <w:ind w:left="4326" w:hanging="360"/>
      </w:pPr>
      <w:rPr>
        <w:rFonts w:ascii="Symbol" w:hAnsi="Symbol" w:hint="default"/>
      </w:rPr>
    </w:lvl>
    <w:lvl w:ilvl="7" w:tplc="040C0003" w:tentative="1">
      <w:start w:val="1"/>
      <w:numFmt w:val="bullet"/>
      <w:lvlText w:val="o"/>
      <w:lvlJc w:val="left"/>
      <w:pPr>
        <w:ind w:left="5046" w:hanging="360"/>
      </w:pPr>
      <w:rPr>
        <w:rFonts w:ascii="Courier New" w:hAnsi="Courier New" w:cs="Courier New" w:hint="default"/>
      </w:rPr>
    </w:lvl>
    <w:lvl w:ilvl="8" w:tplc="040C0005" w:tentative="1">
      <w:start w:val="1"/>
      <w:numFmt w:val="bullet"/>
      <w:lvlText w:val=""/>
      <w:lvlJc w:val="left"/>
      <w:pPr>
        <w:ind w:left="5766" w:hanging="360"/>
      </w:pPr>
      <w:rPr>
        <w:rFonts w:ascii="Wingdings" w:hAnsi="Wingdings" w:hint="default"/>
      </w:rPr>
    </w:lvl>
  </w:abstractNum>
  <w:abstractNum w:abstractNumId="10" w15:restartNumberingAfterBreak="0">
    <w:nsid w:val="14B34AB2"/>
    <w:multiLevelType w:val="hybridMultilevel"/>
    <w:tmpl w:val="9D94D4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7845F60"/>
    <w:multiLevelType w:val="hybridMultilevel"/>
    <w:tmpl w:val="9CBEB766"/>
    <w:lvl w:ilvl="0" w:tplc="765C2682">
      <w:start w:val="25"/>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C20C68"/>
    <w:multiLevelType w:val="hybridMultilevel"/>
    <w:tmpl w:val="47F293B4"/>
    <w:lvl w:ilvl="0" w:tplc="840E8FD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CA225B0"/>
    <w:multiLevelType w:val="hybridMultilevel"/>
    <w:tmpl w:val="55DE836E"/>
    <w:lvl w:ilvl="0" w:tplc="4CEA094E">
      <w:start w:val="15"/>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470E2C"/>
    <w:multiLevelType w:val="hybridMultilevel"/>
    <w:tmpl w:val="D49A9A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3971EB4"/>
    <w:multiLevelType w:val="hybridMultilevel"/>
    <w:tmpl w:val="9C8041CE"/>
    <w:lvl w:ilvl="0" w:tplc="897A866E">
      <w:start w:val="16"/>
      <w:numFmt w:val="decimal"/>
      <w:lvlText w:val="%1"/>
      <w:lvlJc w:val="left"/>
      <w:pPr>
        <w:ind w:left="720" w:hanging="360"/>
      </w:pPr>
      <w:rPr>
        <w:rFonts w:ascii="Arial" w:hAnsi="Arial" w:cs="Arial"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431225E"/>
    <w:multiLevelType w:val="hybridMultilevel"/>
    <w:tmpl w:val="165C2C26"/>
    <w:lvl w:ilvl="0" w:tplc="CBD8D362">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61A732E"/>
    <w:multiLevelType w:val="hybridMultilevel"/>
    <w:tmpl w:val="DC8EE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E9F35F8"/>
    <w:multiLevelType w:val="hybridMultilevel"/>
    <w:tmpl w:val="3CAE2E76"/>
    <w:lvl w:ilvl="0" w:tplc="765C2682">
      <w:start w:val="25"/>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55D701F"/>
    <w:multiLevelType w:val="hybridMultilevel"/>
    <w:tmpl w:val="502AC7B0"/>
    <w:lvl w:ilvl="0" w:tplc="C05ADC66">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8943E28"/>
    <w:multiLevelType w:val="hybridMultilevel"/>
    <w:tmpl w:val="308E30B6"/>
    <w:lvl w:ilvl="0" w:tplc="19B6B1B6">
      <w:start w:val="6"/>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D90406"/>
    <w:multiLevelType w:val="hybridMultilevel"/>
    <w:tmpl w:val="B2EC7950"/>
    <w:lvl w:ilvl="0" w:tplc="8226814C">
      <w:start w:val="3"/>
      <w:numFmt w:val="bullet"/>
      <w:lvlText w:val=""/>
      <w:lvlJc w:val="left"/>
      <w:pPr>
        <w:ind w:left="360" w:hanging="360"/>
      </w:pPr>
      <w:rPr>
        <w:rFonts w:ascii="Wingdings" w:eastAsia="Times New Roman" w:hAnsi="Wingdings"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0DF6ACD"/>
    <w:multiLevelType w:val="hybridMultilevel"/>
    <w:tmpl w:val="2806E940"/>
    <w:lvl w:ilvl="0" w:tplc="3EF6AE3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5E30AC"/>
    <w:multiLevelType w:val="multilevel"/>
    <w:tmpl w:val="D19A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2828AC"/>
    <w:multiLevelType w:val="hybridMultilevel"/>
    <w:tmpl w:val="FAE85B94"/>
    <w:lvl w:ilvl="0" w:tplc="B31248A2">
      <w:start w:val="24"/>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652122"/>
    <w:multiLevelType w:val="hybridMultilevel"/>
    <w:tmpl w:val="A35A4E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FD55F0A"/>
    <w:multiLevelType w:val="hybridMultilevel"/>
    <w:tmpl w:val="F0BAC87E"/>
    <w:lvl w:ilvl="0" w:tplc="3D345EB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5281C2A"/>
    <w:multiLevelType w:val="hybridMultilevel"/>
    <w:tmpl w:val="AE765F4E"/>
    <w:lvl w:ilvl="0" w:tplc="0994E152">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58C2CB0"/>
    <w:multiLevelType w:val="multilevel"/>
    <w:tmpl w:val="353240B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B3B38E0"/>
    <w:multiLevelType w:val="hybridMultilevel"/>
    <w:tmpl w:val="822A2380"/>
    <w:lvl w:ilvl="0" w:tplc="26BAFEC6">
      <w:start w:val="3"/>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0" w15:restartNumberingAfterBreak="0">
    <w:nsid w:val="5D3342A4"/>
    <w:multiLevelType w:val="hybridMultilevel"/>
    <w:tmpl w:val="B1AEFFBE"/>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31" w15:restartNumberingAfterBreak="0">
    <w:nsid w:val="65A3715E"/>
    <w:multiLevelType w:val="hybridMultilevel"/>
    <w:tmpl w:val="C0725EEE"/>
    <w:lvl w:ilvl="0" w:tplc="C05ADC66">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9900DBB"/>
    <w:multiLevelType w:val="hybridMultilevel"/>
    <w:tmpl w:val="1BD65D8C"/>
    <w:lvl w:ilvl="0" w:tplc="F53A4A92">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A492DFA"/>
    <w:multiLevelType w:val="hybridMultilevel"/>
    <w:tmpl w:val="03EE1E88"/>
    <w:lvl w:ilvl="0" w:tplc="CDE2EF9E">
      <w:start w:val="1"/>
      <w:numFmt w:val="bullet"/>
      <w:lvlText w:val="-"/>
      <w:lvlJc w:val="left"/>
      <w:pPr>
        <w:ind w:left="720" w:hanging="360"/>
      </w:pPr>
      <w:rPr>
        <w:rFonts w:ascii="Georgia" w:eastAsia="Times New Roman" w:hAnsi="Georg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F1952FC"/>
    <w:multiLevelType w:val="hybridMultilevel"/>
    <w:tmpl w:val="ADE0E4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0722673"/>
    <w:multiLevelType w:val="hybridMultilevel"/>
    <w:tmpl w:val="FBB03232"/>
    <w:lvl w:ilvl="0" w:tplc="E7D46A0E">
      <w:start w:val="24"/>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2BC6A5E"/>
    <w:multiLevelType w:val="hybridMultilevel"/>
    <w:tmpl w:val="BF3837DC"/>
    <w:lvl w:ilvl="0" w:tplc="E7D46A0E">
      <w:start w:val="24"/>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6EA4120"/>
    <w:multiLevelType w:val="hybridMultilevel"/>
    <w:tmpl w:val="1D98AD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77C24A7"/>
    <w:multiLevelType w:val="hybridMultilevel"/>
    <w:tmpl w:val="B14C3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7CF1B2D"/>
    <w:multiLevelType w:val="hybridMultilevel"/>
    <w:tmpl w:val="70F4AB08"/>
    <w:lvl w:ilvl="0" w:tplc="43AC8BA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97300C6"/>
    <w:multiLevelType w:val="hybridMultilevel"/>
    <w:tmpl w:val="9F120D96"/>
    <w:lvl w:ilvl="0" w:tplc="C6CAE250">
      <w:start w:val="2"/>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F400F78"/>
    <w:multiLevelType w:val="hybridMultilevel"/>
    <w:tmpl w:val="AFB68A6C"/>
    <w:lvl w:ilvl="0" w:tplc="CC963E6E">
      <w:numFmt w:val="bullet"/>
      <w:pStyle w:val="Paragraphedeliste"/>
      <w:lvlText w:val="-"/>
      <w:lvlJc w:val="left"/>
      <w:pPr>
        <w:ind w:left="705" w:hanging="705"/>
      </w:pPr>
      <w:rPr>
        <w:rFonts w:ascii="Georgia" w:eastAsia="Times New Roman" w:hAnsi="Georg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7"/>
  </w:num>
  <w:num w:numId="2">
    <w:abstractNumId w:val="41"/>
  </w:num>
  <w:num w:numId="3">
    <w:abstractNumId w:val="1"/>
  </w:num>
  <w:num w:numId="4">
    <w:abstractNumId w:val="18"/>
  </w:num>
  <w:num w:numId="5">
    <w:abstractNumId w:val="32"/>
  </w:num>
  <w:num w:numId="6">
    <w:abstractNumId w:val="41"/>
  </w:num>
  <w:num w:numId="7">
    <w:abstractNumId w:val="11"/>
  </w:num>
  <w:num w:numId="8">
    <w:abstractNumId w:val="16"/>
  </w:num>
  <w:num w:numId="9">
    <w:abstractNumId w:val="28"/>
  </w:num>
  <w:num w:numId="10">
    <w:abstractNumId w:val="33"/>
  </w:num>
  <w:num w:numId="11">
    <w:abstractNumId w:val="5"/>
  </w:num>
  <w:num w:numId="12">
    <w:abstractNumId w:val="27"/>
  </w:num>
  <w:num w:numId="13">
    <w:abstractNumId w:val="41"/>
  </w:num>
  <w:num w:numId="14">
    <w:abstractNumId w:val="23"/>
  </w:num>
  <w:num w:numId="15">
    <w:abstractNumId w:val="15"/>
  </w:num>
  <w:num w:numId="16">
    <w:abstractNumId w:val="41"/>
  </w:num>
  <w:num w:numId="17">
    <w:abstractNumId w:val="35"/>
  </w:num>
  <w:num w:numId="18">
    <w:abstractNumId w:val="24"/>
  </w:num>
  <w:num w:numId="19">
    <w:abstractNumId w:val="36"/>
  </w:num>
  <w:num w:numId="20">
    <w:abstractNumId w:val="12"/>
  </w:num>
  <w:num w:numId="21">
    <w:abstractNumId w:val="4"/>
  </w:num>
  <w:num w:numId="22">
    <w:abstractNumId w:val="41"/>
  </w:num>
  <w:num w:numId="23">
    <w:abstractNumId w:val="41"/>
  </w:num>
  <w:num w:numId="24">
    <w:abstractNumId w:val="40"/>
  </w:num>
  <w:num w:numId="25">
    <w:abstractNumId w:val="41"/>
  </w:num>
  <w:num w:numId="26">
    <w:abstractNumId w:val="29"/>
  </w:num>
  <w:num w:numId="27">
    <w:abstractNumId w:val="20"/>
  </w:num>
  <w:num w:numId="28">
    <w:abstractNumId w:val="41"/>
  </w:num>
  <w:num w:numId="29">
    <w:abstractNumId w:val="41"/>
  </w:num>
  <w:num w:numId="30">
    <w:abstractNumId w:val="41"/>
  </w:num>
  <w:num w:numId="31">
    <w:abstractNumId w:val="13"/>
  </w:num>
  <w:num w:numId="32">
    <w:abstractNumId w:val="31"/>
  </w:num>
  <w:num w:numId="33">
    <w:abstractNumId w:val="19"/>
  </w:num>
  <w:num w:numId="34">
    <w:abstractNumId w:val="25"/>
  </w:num>
  <w:num w:numId="35">
    <w:abstractNumId w:val="8"/>
  </w:num>
  <w:num w:numId="36">
    <w:abstractNumId w:val="38"/>
  </w:num>
  <w:num w:numId="37">
    <w:abstractNumId w:val="34"/>
  </w:num>
  <w:num w:numId="38">
    <w:abstractNumId w:val="39"/>
  </w:num>
  <w:num w:numId="39">
    <w:abstractNumId w:val="26"/>
  </w:num>
  <w:num w:numId="40">
    <w:abstractNumId w:val="22"/>
  </w:num>
  <w:num w:numId="41">
    <w:abstractNumId w:val="41"/>
  </w:num>
  <w:num w:numId="42">
    <w:abstractNumId w:val="41"/>
  </w:num>
  <w:num w:numId="43">
    <w:abstractNumId w:val="6"/>
  </w:num>
  <w:num w:numId="44">
    <w:abstractNumId w:val="2"/>
  </w:num>
  <w:num w:numId="45">
    <w:abstractNumId w:val="9"/>
  </w:num>
  <w:num w:numId="46">
    <w:abstractNumId w:val="21"/>
  </w:num>
  <w:num w:numId="47">
    <w:abstractNumId w:val="30"/>
  </w:num>
  <w:num w:numId="48">
    <w:abstractNumId w:val="7"/>
  </w:num>
  <w:num w:numId="49">
    <w:abstractNumId w:val="14"/>
  </w:num>
  <w:num w:numId="50">
    <w:abstractNumId w:val="10"/>
  </w:num>
  <w:num w:numId="51">
    <w:abstractNumId w:val="41"/>
  </w:num>
  <w:num w:numId="52">
    <w:abstractNumId w:val="41"/>
  </w:num>
  <w:num w:numId="53">
    <w:abstractNumId w:val="0"/>
  </w:num>
  <w:num w:numId="54">
    <w:abstractNumId w:val="3"/>
  </w:num>
  <w:num w:numId="55">
    <w:abstractNumId w:val="41"/>
  </w:num>
  <w:num w:numId="56">
    <w:abstractNumId w:val="41"/>
  </w:num>
  <w:num w:numId="57">
    <w:abstractNumId w:val="41"/>
  </w:num>
  <w:num w:numId="58">
    <w:abstractNumId w:val="37"/>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410"/>
    <w:rsid w:val="00002B17"/>
    <w:rsid w:val="00010556"/>
    <w:rsid w:val="0001572D"/>
    <w:rsid w:val="00024478"/>
    <w:rsid w:val="000261A7"/>
    <w:rsid w:val="00027212"/>
    <w:rsid w:val="00027824"/>
    <w:rsid w:val="00032639"/>
    <w:rsid w:val="0003320F"/>
    <w:rsid w:val="00033721"/>
    <w:rsid w:val="00043AE5"/>
    <w:rsid w:val="000515AF"/>
    <w:rsid w:val="00056AF8"/>
    <w:rsid w:val="0005731C"/>
    <w:rsid w:val="00071EEF"/>
    <w:rsid w:val="00072BA8"/>
    <w:rsid w:val="00073CAC"/>
    <w:rsid w:val="00076D52"/>
    <w:rsid w:val="00090F03"/>
    <w:rsid w:val="00092230"/>
    <w:rsid w:val="00092F76"/>
    <w:rsid w:val="00093020"/>
    <w:rsid w:val="00097EFA"/>
    <w:rsid w:val="000B35E0"/>
    <w:rsid w:val="000B5019"/>
    <w:rsid w:val="000B566A"/>
    <w:rsid w:val="000B5737"/>
    <w:rsid w:val="000C1C19"/>
    <w:rsid w:val="000C4F12"/>
    <w:rsid w:val="000D07D0"/>
    <w:rsid w:val="000D1B9F"/>
    <w:rsid w:val="000D7A04"/>
    <w:rsid w:val="000E13FD"/>
    <w:rsid w:val="000E3D22"/>
    <w:rsid w:val="000F5F0B"/>
    <w:rsid w:val="00104B0D"/>
    <w:rsid w:val="0011418D"/>
    <w:rsid w:val="00123D1B"/>
    <w:rsid w:val="001240E3"/>
    <w:rsid w:val="00125DC1"/>
    <w:rsid w:val="00133201"/>
    <w:rsid w:val="00141BF3"/>
    <w:rsid w:val="00146814"/>
    <w:rsid w:val="00152619"/>
    <w:rsid w:val="00153C3E"/>
    <w:rsid w:val="00157441"/>
    <w:rsid w:val="00164543"/>
    <w:rsid w:val="001657BB"/>
    <w:rsid w:val="00182A0C"/>
    <w:rsid w:val="001902A4"/>
    <w:rsid w:val="001A6394"/>
    <w:rsid w:val="001A73E8"/>
    <w:rsid w:val="001B0E7D"/>
    <w:rsid w:val="001B4668"/>
    <w:rsid w:val="001B4CD1"/>
    <w:rsid w:val="001C6E0E"/>
    <w:rsid w:val="001D0B1C"/>
    <w:rsid w:val="001D2B35"/>
    <w:rsid w:val="001D7549"/>
    <w:rsid w:val="001E074E"/>
    <w:rsid w:val="001E33D4"/>
    <w:rsid w:val="001F242D"/>
    <w:rsid w:val="001F4013"/>
    <w:rsid w:val="001F407C"/>
    <w:rsid w:val="00203D08"/>
    <w:rsid w:val="00204550"/>
    <w:rsid w:val="00212286"/>
    <w:rsid w:val="00212DC7"/>
    <w:rsid w:val="00231A19"/>
    <w:rsid w:val="00233216"/>
    <w:rsid w:val="00241317"/>
    <w:rsid w:val="00250518"/>
    <w:rsid w:val="002530C4"/>
    <w:rsid w:val="002638CE"/>
    <w:rsid w:val="00267FC3"/>
    <w:rsid w:val="00272698"/>
    <w:rsid w:val="002762A9"/>
    <w:rsid w:val="00277C41"/>
    <w:rsid w:val="0028479F"/>
    <w:rsid w:val="00291BE8"/>
    <w:rsid w:val="0029499E"/>
    <w:rsid w:val="00294DCD"/>
    <w:rsid w:val="00297135"/>
    <w:rsid w:val="00297211"/>
    <w:rsid w:val="002A0F77"/>
    <w:rsid w:val="002B3FB6"/>
    <w:rsid w:val="002B4AEA"/>
    <w:rsid w:val="002B7AE4"/>
    <w:rsid w:val="002C7F76"/>
    <w:rsid w:val="002E0449"/>
    <w:rsid w:val="002E2CC9"/>
    <w:rsid w:val="002E79C3"/>
    <w:rsid w:val="002F6D63"/>
    <w:rsid w:val="00303F17"/>
    <w:rsid w:val="003211E0"/>
    <w:rsid w:val="00322F38"/>
    <w:rsid w:val="003309F6"/>
    <w:rsid w:val="00330C81"/>
    <w:rsid w:val="003322D8"/>
    <w:rsid w:val="003370E2"/>
    <w:rsid w:val="00341199"/>
    <w:rsid w:val="00344C83"/>
    <w:rsid w:val="003613FF"/>
    <w:rsid w:val="00366418"/>
    <w:rsid w:val="00366462"/>
    <w:rsid w:val="00367177"/>
    <w:rsid w:val="00372573"/>
    <w:rsid w:val="00375D3E"/>
    <w:rsid w:val="003A1E6B"/>
    <w:rsid w:val="003A437C"/>
    <w:rsid w:val="003A46A6"/>
    <w:rsid w:val="003B5416"/>
    <w:rsid w:val="003B566F"/>
    <w:rsid w:val="003D2C70"/>
    <w:rsid w:val="003D5DEB"/>
    <w:rsid w:val="003E0462"/>
    <w:rsid w:val="003F5D80"/>
    <w:rsid w:val="00400068"/>
    <w:rsid w:val="00406DF6"/>
    <w:rsid w:val="0041220D"/>
    <w:rsid w:val="004132BB"/>
    <w:rsid w:val="004142AC"/>
    <w:rsid w:val="00417640"/>
    <w:rsid w:val="004269AC"/>
    <w:rsid w:val="00436E14"/>
    <w:rsid w:val="0046226E"/>
    <w:rsid w:val="0046427E"/>
    <w:rsid w:val="00466F1D"/>
    <w:rsid w:val="00471160"/>
    <w:rsid w:val="0048190E"/>
    <w:rsid w:val="00491D42"/>
    <w:rsid w:val="00492B91"/>
    <w:rsid w:val="004934BD"/>
    <w:rsid w:val="004943E3"/>
    <w:rsid w:val="004957F8"/>
    <w:rsid w:val="004A28AD"/>
    <w:rsid w:val="004B372D"/>
    <w:rsid w:val="004B45C4"/>
    <w:rsid w:val="004C19A3"/>
    <w:rsid w:val="004C5939"/>
    <w:rsid w:val="004C7AEF"/>
    <w:rsid w:val="004E3407"/>
    <w:rsid w:val="004E7A2D"/>
    <w:rsid w:val="00503AEA"/>
    <w:rsid w:val="00513703"/>
    <w:rsid w:val="00513BC2"/>
    <w:rsid w:val="00525282"/>
    <w:rsid w:val="005268D1"/>
    <w:rsid w:val="00533A59"/>
    <w:rsid w:val="005341BE"/>
    <w:rsid w:val="005343BD"/>
    <w:rsid w:val="00534E03"/>
    <w:rsid w:val="005407C7"/>
    <w:rsid w:val="00544A85"/>
    <w:rsid w:val="00562660"/>
    <w:rsid w:val="00570166"/>
    <w:rsid w:val="00572F8A"/>
    <w:rsid w:val="0057500F"/>
    <w:rsid w:val="00582592"/>
    <w:rsid w:val="00583403"/>
    <w:rsid w:val="0058478B"/>
    <w:rsid w:val="005941F9"/>
    <w:rsid w:val="00595065"/>
    <w:rsid w:val="00596FE2"/>
    <w:rsid w:val="005A28BB"/>
    <w:rsid w:val="005A471D"/>
    <w:rsid w:val="005B0A2B"/>
    <w:rsid w:val="005B0A32"/>
    <w:rsid w:val="005B7A7D"/>
    <w:rsid w:val="005D2DD3"/>
    <w:rsid w:val="005D313F"/>
    <w:rsid w:val="00607344"/>
    <w:rsid w:val="00613B36"/>
    <w:rsid w:val="006256AE"/>
    <w:rsid w:val="006307CB"/>
    <w:rsid w:val="006362EB"/>
    <w:rsid w:val="00642293"/>
    <w:rsid w:val="00644A8E"/>
    <w:rsid w:val="00653E9B"/>
    <w:rsid w:val="00655647"/>
    <w:rsid w:val="00656926"/>
    <w:rsid w:val="00656B89"/>
    <w:rsid w:val="006707CD"/>
    <w:rsid w:val="00670A88"/>
    <w:rsid w:val="0067252E"/>
    <w:rsid w:val="00673988"/>
    <w:rsid w:val="00682CA0"/>
    <w:rsid w:val="00690E50"/>
    <w:rsid w:val="00692BF7"/>
    <w:rsid w:val="006B36D4"/>
    <w:rsid w:val="006D03FC"/>
    <w:rsid w:val="006D12CE"/>
    <w:rsid w:val="006D35EC"/>
    <w:rsid w:val="006D3BB0"/>
    <w:rsid w:val="006E3D79"/>
    <w:rsid w:val="006E4978"/>
    <w:rsid w:val="006E7DBF"/>
    <w:rsid w:val="006F1A11"/>
    <w:rsid w:val="007033C7"/>
    <w:rsid w:val="00705DD8"/>
    <w:rsid w:val="007065C6"/>
    <w:rsid w:val="007147E8"/>
    <w:rsid w:val="007241F6"/>
    <w:rsid w:val="007242B6"/>
    <w:rsid w:val="00727410"/>
    <w:rsid w:val="00732952"/>
    <w:rsid w:val="00733731"/>
    <w:rsid w:val="0073551C"/>
    <w:rsid w:val="00737293"/>
    <w:rsid w:val="00746BA3"/>
    <w:rsid w:val="00746E46"/>
    <w:rsid w:val="007624E6"/>
    <w:rsid w:val="007671C1"/>
    <w:rsid w:val="007679D8"/>
    <w:rsid w:val="00775DCB"/>
    <w:rsid w:val="0078353C"/>
    <w:rsid w:val="00787A1D"/>
    <w:rsid w:val="007B0EFB"/>
    <w:rsid w:val="007C06C1"/>
    <w:rsid w:val="007C1500"/>
    <w:rsid w:val="007C3DB1"/>
    <w:rsid w:val="007D2946"/>
    <w:rsid w:val="007D553C"/>
    <w:rsid w:val="007E30B4"/>
    <w:rsid w:val="007E6113"/>
    <w:rsid w:val="007E6633"/>
    <w:rsid w:val="007E7233"/>
    <w:rsid w:val="007E79DB"/>
    <w:rsid w:val="007F2832"/>
    <w:rsid w:val="0080477F"/>
    <w:rsid w:val="00807661"/>
    <w:rsid w:val="00810991"/>
    <w:rsid w:val="00811F59"/>
    <w:rsid w:val="008412F3"/>
    <w:rsid w:val="00847B4A"/>
    <w:rsid w:val="008555EB"/>
    <w:rsid w:val="0086009B"/>
    <w:rsid w:val="00876776"/>
    <w:rsid w:val="00880368"/>
    <w:rsid w:val="00883087"/>
    <w:rsid w:val="0088553C"/>
    <w:rsid w:val="00887AA9"/>
    <w:rsid w:val="00887D9A"/>
    <w:rsid w:val="00890432"/>
    <w:rsid w:val="008956D1"/>
    <w:rsid w:val="008A4F9D"/>
    <w:rsid w:val="008A7D15"/>
    <w:rsid w:val="008B2704"/>
    <w:rsid w:val="008B3FD9"/>
    <w:rsid w:val="008B7339"/>
    <w:rsid w:val="008C1C1E"/>
    <w:rsid w:val="008D3331"/>
    <w:rsid w:val="008D5205"/>
    <w:rsid w:val="008D7A86"/>
    <w:rsid w:val="008E1495"/>
    <w:rsid w:val="008E30C5"/>
    <w:rsid w:val="008F3A30"/>
    <w:rsid w:val="008F7C2A"/>
    <w:rsid w:val="00904C70"/>
    <w:rsid w:val="009116C2"/>
    <w:rsid w:val="009119E2"/>
    <w:rsid w:val="00925D84"/>
    <w:rsid w:val="009301F5"/>
    <w:rsid w:val="009329C0"/>
    <w:rsid w:val="009339CC"/>
    <w:rsid w:val="00934CF8"/>
    <w:rsid w:val="009449CE"/>
    <w:rsid w:val="009558A0"/>
    <w:rsid w:val="00960720"/>
    <w:rsid w:val="00962966"/>
    <w:rsid w:val="009715AB"/>
    <w:rsid w:val="00984B2D"/>
    <w:rsid w:val="00984C0E"/>
    <w:rsid w:val="00985BD6"/>
    <w:rsid w:val="00991E1D"/>
    <w:rsid w:val="009A344C"/>
    <w:rsid w:val="009C7112"/>
    <w:rsid w:val="009F3983"/>
    <w:rsid w:val="009F46EE"/>
    <w:rsid w:val="00A03422"/>
    <w:rsid w:val="00A065C0"/>
    <w:rsid w:val="00A31F6E"/>
    <w:rsid w:val="00A33417"/>
    <w:rsid w:val="00A413D5"/>
    <w:rsid w:val="00A465A9"/>
    <w:rsid w:val="00A5442A"/>
    <w:rsid w:val="00A61000"/>
    <w:rsid w:val="00A629BC"/>
    <w:rsid w:val="00A84369"/>
    <w:rsid w:val="00A93DC9"/>
    <w:rsid w:val="00AA4BF1"/>
    <w:rsid w:val="00AB047D"/>
    <w:rsid w:val="00AB5842"/>
    <w:rsid w:val="00AD0BC9"/>
    <w:rsid w:val="00AD7C4B"/>
    <w:rsid w:val="00B029B3"/>
    <w:rsid w:val="00B03671"/>
    <w:rsid w:val="00B072DC"/>
    <w:rsid w:val="00B257BE"/>
    <w:rsid w:val="00B2749D"/>
    <w:rsid w:val="00B30A8B"/>
    <w:rsid w:val="00B32893"/>
    <w:rsid w:val="00B34FBD"/>
    <w:rsid w:val="00B412CF"/>
    <w:rsid w:val="00B417E0"/>
    <w:rsid w:val="00B45C05"/>
    <w:rsid w:val="00B661D5"/>
    <w:rsid w:val="00B70460"/>
    <w:rsid w:val="00B82E38"/>
    <w:rsid w:val="00B83AF9"/>
    <w:rsid w:val="00B92FE0"/>
    <w:rsid w:val="00BA18CC"/>
    <w:rsid w:val="00BB1645"/>
    <w:rsid w:val="00BB23C3"/>
    <w:rsid w:val="00BC5756"/>
    <w:rsid w:val="00BC59C3"/>
    <w:rsid w:val="00BC6EB4"/>
    <w:rsid w:val="00BD2A2F"/>
    <w:rsid w:val="00BD364D"/>
    <w:rsid w:val="00BD378C"/>
    <w:rsid w:val="00BE77A0"/>
    <w:rsid w:val="00BF4D85"/>
    <w:rsid w:val="00C038CF"/>
    <w:rsid w:val="00C04BE0"/>
    <w:rsid w:val="00C12FFE"/>
    <w:rsid w:val="00C16709"/>
    <w:rsid w:val="00C31D9D"/>
    <w:rsid w:val="00C523FC"/>
    <w:rsid w:val="00C60480"/>
    <w:rsid w:val="00C6748F"/>
    <w:rsid w:val="00C71DDF"/>
    <w:rsid w:val="00C811A3"/>
    <w:rsid w:val="00C82163"/>
    <w:rsid w:val="00C84CE8"/>
    <w:rsid w:val="00C92762"/>
    <w:rsid w:val="00C932BC"/>
    <w:rsid w:val="00C93A3E"/>
    <w:rsid w:val="00CA0BD3"/>
    <w:rsid w:val="00CA12D9"/>
    <w:rsid w:val="00CB5EC0"/>
    <w:rsid w:val="00CC4F50"/>
    <w:rsid w:val="00CD18EC"/>
    <w:rsid w:val="00CF0D2C"/>
    <w:rsid w:val="00CF17B2"/>
    <w:rsid w:val="00CF38C5"/>
    <w:rsid w:val="00D112CC"/>
    <w:rsid w:val="00D15E9A"/>
    <w:rsid w:val="00D161FE"/>
    <w:rsid w:val="00D2324F"/>
    <w:rsid w:val="00D2534E"/>
    <w:rsid w:val="00D25C1E"/>
    <w:rsid w:val="00D26891"/>
    <w:rsid w:val="00D522D6"/>
    <w:rsid w:val="00D531A0"/>
    <w:rsid w:val="00D63B18"/>
    <w:rsid w:val="00D648F6"/>
    <w:rsid w:val="00D67CC6"/>
    <w:rsid w:val="00D70A82"/>
    <w:rsid w:val="00D74C3B"/>
    <w:rsid w:val="00D75C74"/>
    <w:rsid w:val="00D8258E"/>
    <w:rsid w:val="00D84591"/>
    <w:rsid w:val="00DA182A"/>
    <w:rsid w:val="00DA3864"/>
    <w:rsid w:val="00DA4B4D"/>
    <w:rsid w:val="00DB2B06"/>
    <w:rsid w:val="00DC0F94"/>
    <w:rsid w:val="00DF0C17"/>
    <w:rsid w:val="00DF5261"/>
    <w:rsid w:val="00E01F79"/>
    <w:rsid w:val="00E1199D"/>
    <w:rsid w:val="00E2048A"/>
    <w:rsid w:val="00E2608A"/>
    <w:rsid w:val="00E27C6F"/>
    <w:rsid w:val="00E331C0"/>
    <w:rsid w:val="00E33CC6"/>
    <w:rsid w:val="00E514F6"/>
    <w:rsid w:val="00E522D5"/>
    <w:rsid w:val="00E56D6A"/>
    <w:rsid w:val="00E56F09"/>
    <w:rsid w:val="00E66D9E"/>
    <w:rsid w:val="00E73CB6"/>
    <w:rsid w:val="00E832E5"/>
    <w:rsid w:val="00E97A84"/>
    <w:rsid w:val="00EB082E"/>
    <w:rsid w:val="00EB2945"/>
    <w:rsid w:val="00ED4424"/>
    <w:rsid w:val="00ED695A"/>
    <w:rsid w:val="00EE007B"/>
    <w:rsid w:val="00EE115C"/>
    <w:rsid w:val="00EF0A02"/>
    <w:rsid w:val="00EF451A"/>
    <w:rsid w:val="00EF46D1"/>
    <w:rsid w:val="00EF7F88"/>
    <w:rsid w:val="00F02A3D"/>
    <w:rsid w:val="00F1162D"/>
    <w:rsid w:val="00F140DA"/>
    <w:rsid w:val="00F15599"/>
    <w:rsid w:val="00F20C26"/>
    <w:rsid w:val="00F20E8A"/>
    <w:rsid w:val="00F25EED"/>
    <w:rsid w:val="00F26D6E"/>
    <w:rsid w:val="00F33364"/>
    <w:rsid w:val="00F34C71"/>
    <w:rsid w:val="00F45A14"/>
    <w:rsid w:val="00F52D4E"/>
    <w:rsid w:val="00F52FEB"/>
    <w:rsid w:val="00F54AFF"/>
    <w:rsid w:val="00F615FF"/>
    <w:rsid w:val="00F75E5E"/>
    <w:rsid w:val="00F8293F"/>
    <w:rsid w:val="00F8349D"/>
    <w:rsid w:val="00F932BF"/>
    <w:rsid w:val="00F952A1"/>
    <w:rsid w:val="00FA1625"/>
    <w:rsid w:val="00FA36ED"/>
    <w:rsid w:val="00FA508C"/>
    <w:rsid w:val="00FA78BB"/>
    <w:rsid w:val="00FB1612"/>
    <w:rsid w:val="00FB4B1C"/>
    <w:rsid w:val="00FC4588"/>
    <w:rsid w:val="00FC5F99"/>
    <w:rsid w:val="00FD4C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79434"/>
  <w15:docId w15:val="{34489FC2-4F24-44BA-900A-D3FE53D0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410"/>
    <w:pPr>
      <w:spacing w:before="200" w:after="0" w:line="280" w:lineRule="atLeast"/>
      <w:jc w:val="both"/>
    </w:pPr>
    <w:rPr>
      <w:rFonts w:ascii="Georgia" w:eastAsia="Times New Roman" w:hAnsi="Georgia" w:cs="Times New Roman"/>
      <w:color w:val="000000" w:themeColor="text1"/>
      <w:sz w:val="18"/>
      <w:szCs w:val="20"/>
      <w:lang w:bidi="en-US"/>
    </w:rPr>
  </w:style>
  <w:style w:type="paragraph" w:styleId="Titre1">
    <w:name w:val="heading 1"/>
    <w:basedOn w:val="Normal"/>
    <w:next w:val="Normal"/>
    <w:link w:val="Titre1Car"/>
    <w:uiPriority w:val="9"/>
    <w:qFormat/>
    <w:rsid w:val="00267FC3"/>
    <w:pPr>
      <w:keepNext/>
      <w:keepLines/>
      <w:shd w:val="clear" w:color="auto" w:fill="007CBF"/>
      <w:spacing w:before="480"/>
      <w:ind w:firstLine="142"/>
      <w:outlineLvl w:val="0"/>
    </w:pPr>
    <w:rPr>
      <w:rFonts w:ascii="MetaPlus" w:eastAsiaTheme="majorEastAsia" w:hAnsi="MetaPlus" w:cstheme="majorBidi"/>
      <w:b/>
      <w:bCs/>
      <w:color w:val="FFFFFF" w:themeColor="background1"/>
      <w:sz w:val="28"/>
      <w:szCs w:val="28"/>
    </w:rPr>
  </w:style>
  <w:style w:type="paragraph" w:styleId="Titre2">
    <w:name w:val="heading 2"/>
    <w:basedOn w:val="Normal"/>
    <w:next w:val="Normal"/>
    <w:link w:val="Titre2Car"/>
    <w:uiPriority w:val="9"/>
    <w:unhideWhenUsed/>
    <w:qFormat/>
    <w:rsid w:val="005268D1"/>
    <w:pPr>
      <w:keepNext/>
      <w:keepLines/>
      <w:ind w:left="426" w:hanging="426"/>
      <w:outlineLvl w:val="1"/>
    </w:pPr>
    <w:rPr>
      <w:rFonts w:eastAsiaTheme="majorEastAsia" w:cstheme="majorBidi"/>
      <w:b/>
      <w:bCs/>
      <w:color w:val="E36C0A" w:themeColor="accent6" w:themeShade="BF"/>
      <w:sz w:val="26"/>
      <w:szCs w:val="26"/>
    </w:rPr>
  </w:style>
  <w:style w:type="paragraph" w:styleId="Titre3">
    <w:name w:val="heading 3"/>
    <w:basedOn w:val="Normal"/>
    <w:next w:val="Normal"/>
    <w:link w:val="Titre3Car"/>
    <w:qFormat/>
    <w:rsid w:val="007E30B4"/>
    <w:pPr>
      <w:keepNext/>
      <w:spacing w:before="240" w:after="60" w:line="240" w:lineRule="auto"/>
      <w:outlineLvl w:val="2"/>
    </w:pPr>
    <w:rPr>
      <w:rFonts w:ascii="Calibri" w:hAnsi="Calibri" w:cs="Arial"/>
      <w:b/>
      <w:color w:val="000000"/>
      <w:sz w:val="22"/>
      <w:szCs w:val="26"/>
      <w:u w:val="single"/>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27410"/>
    <w:pPr>
      <w:tabs>
        <w:tab w:val="center" w:pos="4536"/>
        <w:tab w:val="right" w:pos="9072"/>
      </w:tabs>
      <w:spacing w:line="240" w:lineRule="auto"/>
    </w:pPr>
  </w:style>
  <w:style w:type="character" w:customStyle="1" w:styleId="En-tteCar">
    <w:name w:val="En-tête Car"/>
    <w:basedOn w:val="Policepardfaut"/>
    <w:link w:val="En-tte"/>
    <w:uiPriority w:val="99"/>
    <w:rsid w:val="00727410"/>
  </w:style>
  <w:style w:type="paragraph" w:styleId="Pieddepage">
    <w:name w:val="footer"/>
    <w:basedOn w:val="Normal"/>
    <w:link w:val="PieddepageCar"/>
    <w:uiPriority w:val="99"/>
    <w:unhideWhenUsed/>
    <w:rsid w:val="00727410"/>
    <w:pPr>
      <w:tabs>
        <w:tab w:val="center" w:pos="4536"/>
        <w:tab w:val="right" w:pos="9072"/>
      </w:tabs>
      <w:spacing w:line="240" w:lineRule="auto"/>
    </w:pPr>
  </w:style>
  <w:style w:type="character" w:customStyle="1" w:styleId="PieddepageCar">
    <w:name w:val="Pied de page Car"/>
    <w:basedOn w:val="Policepardfaut"/>
    <w:link w:val="Pieddepage"/>
    <w:uiPriority w:val="99"/>
    <w:rsid w:val="00727410"/>
  </w:style>
  <w:style w:type="paragraph" w:styleId="Textedebulles">
    <w:name w:val="Balloon Text"/>
    <w:basedOn w:val="Normal"/>
    <w:link w:val="TextedebullesCar"/>
    <w:uiPriority w:val="99"/>
    <w:semiHidden/>
    <w:unhideWhenUsed/>
    <w:rsid w:val="0072741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7410"/>
    <w:rPr>
      <w:rFonts w:ascii="Tahoma" w:hAnsi="Tahoma" w:cs="Tahoma"/>
      <w:sz w:val="16"/>
      <w:szCs w:val="16"/>
    </w:rPr>
  </w:style>
  <w:style w:type="paragraph" w:customStyle="1" w:styleId="normal1erepage">
    <w:name w:val="normal1erepage"/>
    <w:basedOn w:val="Normal"/>
    <w:link w:val="normal1erepageCar"/>
    <w:qFormat/>
    <w:rsid w:val="00727410"/>
    <w:pPr>
      <w:ind w:left="1418"/>
    </w:pPr>
  </w:style>
  <w:style w:type="paragraph" w:customStyle="1" w:styleId="presents">
    <w:name w:val="presents"/>
    <w:basedOn w:val="normal1erepage"/>
    <w:link w:val="presentsCar"/>
    <w:qFormat/>
    <w:rsid w:val="00BB1645"/>
    <w:pPr>
      <w:tabs>
        <w:tab w:val="right" w:pos="9072"/>
      </w:tabs>
      <w:spacing w:before="0"/>
    </w:pPr>
  </w:style>
  <w:style w:type="character" w:customStyle="1" w:styleId="normal1erepageCar">
    <w:name w:val="normal1erepage Car"/>
    <w:basedOn w:val="Policepardfaut"/>
    <w:link w:val="normal1erepage"/>
    <w:rsid w:val="00727410"/>
    <w:rPr>
      <w:rFonts w:ascii="Georgia" w:eastAsia="Times New Roman" w:hAnsi="Georgia" w:cs="Times New Roman"/>
      <w:color w:val="000000" w:themeColor="text1"/>
      <w:sz w:val="18"/>
      <w:szCs w:val="20"/>
      <w:lang w:bidi="en-US"/>
    </w:rPr>
  </w:style>
  <w:style w:type="paragraph" w:styleId="Titre">
    <w:name w:val="Title"/>
    <w:basedOn w:val="Normal"/>
    <w:next w:val="Normal"/>
    <w:link w:val="TitreCar"/>
    <w:uiPriority w:val="10"/>
    <w:qFormat/>
    <w:rsid w:val="00BB1645"/>
    <w:pPr>
      <w:spacing w:before="240" w:after="300" w:line="240" w:lineRule="auto"/>
      <w:ind w:left="1418"/>
      <w:contextualSpacing/>
    </w:pPr>
    <w:rPr>
      <w:rFonts w:ascii="AvantGarde" w:eastAsiaTheme="majorEastAsia" w:hAnsi="AvantGarde" w:cstheme="majorBidi"/>
      <w:spacing w:val="5"/>
      <w:kern w:val="28"/>
      <w:sz w:val="44"/>
      <w:szCs w:val="52"/>
    </w:rPr>
  </w:style>
  <w:style w:type="character" w:customStyle="1" w:styleId="presentsCar">
    <w:name w:val="presents Car"/>
    <w:basedOn w:val="normal1erepageCar"/>
    <w:link w:val="presents"/>
    <w:rsid w:val="00BB1645"/>
    <w:rPr>
      <w:rFonts w:ascii="Georgia" w:eastAsia="Times New Roman" w:hAnsi="Georgia" w:cs="Times New Roman"/>
      <w:color w:val="000000" w:themeColor="text1"/>
      <w:sz w:val="18"/>
      <w:szCs w:val="20"/>
      <w:lang w:bidi="en-US"/>
    </w:rPr>
  </w:style>
  <w:style w:type="character" w:customStyle="1" w:styleId="TitreCar">
    <w:name w:val="Titre Car"/>
    <w:basedOn w:val="Policepardfaut"/>
    <w:link w:val="Titre"/>
    <w:uiPriority w:val="10"/>
    <w:rsid w:val="00BB1645"/>
    <w:rPr>
      <w:rFonts w:ascii="AvantGarde" w:eastAsiaTheme="majorEastAsia" w:hAnsi="AvantGarde" w:cstheme="majorBidi"/>
      <w:color w:val="000000" w:themeColor="text1"/>
      <w:spacing w:val="5"/>
      <w:kern w:val="28"/>
      <w:sz w:val="44"/>
      <w:szCs w:val="52"/>
      <w:lang w:bidi="en-US"/>
    </w:rPr>
  </w:style>
  <w:style w:type="paragraph" w:styleId="Sous-titre">
    <w:name w:val="Subtitle"/>
    <w:basedOn w:val="Normal"/>
    <w:next w:val="Normal"/>
    <w:link w:val="Sous-titreCar"/>
    <w:uiPriority w:val="11"/>
    <w:qFormat/>
    <w:rsid w:val="00BB1645"/>
    <w:pPr>
      <w:numPr>
        <w:ilvl w:val="1"/>
      </w:numPr>
      <w:spacing w:before="0"/>
      <w:ind w:left="1418"/>
    </w:pPr>
    <w:rPr>
      <w:rFonts w:asciiTheme="majorHAnsi" w:eastAsiaTheme="majorEastAsia" w:hAnsiTheme="majorHAnsi" w:cstheme="majorBidi"/>
      <w:iCs/>
      <w:color w:val="007CBF"/>
      <w:spacing w:val="15"/>
      <w:sz w:val="24"/>
      <w:szCs w:val="24"/>
    </w:rPr>
  </w:style>
  <w:style w:type="character" w:customStyle="1" w:styleId="Sous-titreCar">
    <w:name w:val="Sous-titre Car"/>
    <w:basedOn w:val="Policepardfaut"/>
    <w:link w:val="Sous-titre"/>
    <w:uiPriority w:val="11"/>
    <w:rsid w:val="00BB1645"/>
    <w:rPr>
      <w:rFonts w:asciiTheme="majorHAnsi" w:eastAsiaTheme="majorEastAsia" w:hAnsiTheme="majorHAnsi" w:cstheme="majorBidi"/>
      <w:iCs/>
      <w:color w:val="007CBF"/>
      <w:spacing w:val="15"/>
      <w:sz w:val="24"/>
      <w:szCs w:val="24"/>
      <w:lang w:bidi="en-US"/>
    </w:rPr>
  </w:style>
  <w:style w:type="paragraph" w:customStyle="1" w:styleId="presentstitre">
    <w:name w:val="presents titre"/>
    <w:basedOn w:val="normal1erepage"/>
    <w:link w:val="presentstitreCar"/>
    <w:qFormat/>
    <w:rsid w:val="00BB1645"/>
    <w:pPr>
      <w:spacing w:after="120"/>
    </w:pPr>
    <w:rPr>
      <w:rFonts w:ascii="MetaPlus" w:hAnsi="MetaPlus"/>
      <w:color w:val="007CBF"/>
      <w:sz w:val="20"/>
    </w:rPr>
  </w:style>
  <w:style w:type="paragraph" w:styleId="Paragraphedeliste">
    <w:name w:val="List Paragraph"/>
    <w:basedOn w:val="Normal"/>
    <w:uiPriority w:val="34"/>
    <w:qFormat/>
    <w:rsid w:val="005268D1"/>
    <w:pPr>
      <w:numPr>
        <w:numId w:val="2"/>
      </w:numPr>
      <w:contextualSpacing/>
    </w:pPr>
  </w:style>
  <w:style w:type="character" w:customStyle="1" w:styleId="presentstitreCar">
    <w:name w:val="presents titre Car"/>
    <w:basedOn w:val="normal1erepageCar"/>
    <w:link w:val="presentstitre"/>
    <w:rsid w:val="00BB1645"/>
    <w:rPr>
      <w:rFonts w:ascii="MetaPlus" w:eastAsia="Times New Roman" w:hAnsi="MetaPlus" w:cs="Times New Roman"/>
      <w:color w:val="007CBF"/>
      <w:sz w:val="20"/>
      <w:szCs w:val="20"/>
      <w:lang w:bidi="en-US"/>
    </w:rPr>
  </w:style>
  <w:style w:type="character" w:customStyle="1" w:styleId="Titre1Car">
    <w:name w:val="Titre 1 Car"/>
    <w:basedOn w:val="Policepardfaut"/>
    <w:link w:val="Titre1"/>
    <w:uiPriority w:val="9"/>
    <w:rsid w:val="00267FC3"/>
    <w:rPr>
      <w:rFonts w:ascii="MetaPlus" w:eastAsiaTheme="majorEastAsia" w:hAnsi="MetaPlus" w:cstheme="majorBidi"/>
      <w:b/>
      <w:bCs/>
      <w:color w:val="FFFFFF" w:themeColor="background1"/>
      <w:sz w:val="28"/>
      <w:szCs w:val="28"/>
      <w:shd w:val="clear" w:color="auto" w:fill="007CBF"/>
      <w:lang w:bidi="en-US"/>
    </w:rPr>
  </w:style>
  <w:style w:type="character" w:customStyle="1" w:styleId="Titre2Car">
    <w:name w:val="Titre 2 Car"/>
    <w:basedOn w:val="Policepardfaut"/>
    <w:link w:val="Titre2"/>
    <w:uiPriority w:val="9"/>
    <w:rsid w:val="005268D1"/>
    <w:rPr>
      <w:rFonts w:ascii="Georgia" w:eastAsiaTheme="majorEastAsia" w:hAnsi="Georgia" w:cstheme="majorBidi"/>
      <w:b/>
      <w:bCs/>
      <w:color w:val="E36C0A" w:themeColor="accent6" w:themeShade="BF"/>
      <w:sz w:val="26"/>
      <w:szCs w:val="26"/>
      <w:lang w:bidi="en-US"/>
    </w:rPr>
  </w:style>
  <w:style w:type="character" w:styleId="Rfrenceintense">
    <w:name w:val="Intense Reference"/>
    <w:basedOn w:val="Policepardfaut"/>
    <w:uiPriority w:val="32"/>
    <w:qFormat/>
    <w:rsid w:val="002B4AEA"/>
    <w:rPr>
      <w:b/>
      <w:bCs/>
      <w:smallCaps/>
      <w:color w:val="E36C0A"/>
      <w:spacing w:val="5"/>
      <w:u w:val="single"/>
    </w:rPr>
  </w:style>
  <w:style w:type="character" w:customStyle="1" w:styleId="Titre3Car">
    <w:name w:val="Titre 3 Car"/>
    <w:basedOn w:val="Policepardfaut"/>
    <w:link w:val="Titre3"/>
    <w:rsid w:val="007E30B4"/>
    <w:rPr>
      <w:rFonts w:ascii="Calibri" w:eastAsia="Times New Roman" w:hAnsi="Calibri" w:cs="Arial"/>
      <w:b/>
      <w:color w:val="000000"/>
      <w:szCs w:val="26"/>
      <w:u w:val="single"/>
      <w:lang w:eastAsia="fr-FR"/>
    </w:rPr>
  </w:style>
  <w:style w:type="character" w:styleId="Lienhypertexte">
    <w:name w:val="Hyperlink"/>
    <w:uiPriority w:val="99"/>
    <w:rsid w:val="003D5DEB"/>
    <w:rPr>
      <w:color w:val="0000FF"/>
      <w:u w:val="single"/>
    </w:rPr>
  </w:style>
  <w:style w:type="character" w:styleId="lev">
    <w:name w:val="Strong"/>
    <w:uiPriority w:val="22"/>
    <w:qFormat/>
    <w:rsid w:val="003D5DEB"/>
    <w:rPr>
      <w:b/>
      <w:bCs/>
    </w:rPr>
  </w:style>
  <w:style w:type="paragraph" w:styleId="En-ttedetabledesmatires">
    <w:name w:val="TOC Heading"/>
    <w:basedOn w:val="Titre1"/>
    <w:next w:val="Normal"/>
    <w:uiPriority w:val="39"/>
    <w:unhideWhenUsed/>
    <w:qFormat/>
    <w:rsid w:val="003D5DEB"/>
    <w:pPr>
      <w:shd w:val="clear" w:color="auto" w:fill="auto"/>
      <w:spacing w:before="240" w:line="259" w:lineRule="auto"/>
      <w:ind w:firstLine="0"/>
      <w:jc w:val="left"/>
      <w:outlineLvl w:val="9"/>
    </w:pPr>
    <w:rPr>
      <w:rFonts w:asciiTheme="majorHAnsi" w:hAnsiTheme="majorHAnsi"/>
      <w:b w:val="0"/>
      <w:bCs w:val="0"/>
      <w:color w:val="365F91" w:themeColor="accent1" w:themeShade="BF"/>
      <w:sz w:val="32"/>
      <w:szCs w:val="32"/>
      <w:lang w:eastAsia="fr-FR" w:bidi="ar-SA"/>
    </w:rPr>
  </w:style>
  <w:style w:type="paragraph" w:styleId="TM1">
    <w:name w:val="toc 1"/>
    <w:basedOn w:val="Normal"/>
    <w:next w:val="Normal"/>
    <w:autoRedefine/>
    <w:uiPriority w:val="39"/>
    <w:unhideWhenUsed/>
    <w:rsid w:val="003D5DEB"/>
    <w:pPr>
      <w:tabs>
        <w:tab w:val="right" w:leader="dot" w:pos="9062"/>
      </w:tabs>
      <w:spacing w:after="100"/>
      <w:ind w:left="1418"/>
    </w:pPr>
    <w:rPr>
      <w:b/>
      <w:noProof/>
    </w:rPr>
  </w:style>
  <w:style w:type="paragraph" w:styleId="TM2">
    <w:name w:val="toc 2"/>
    <w:basedOn w:val="Normal"/>
    <w:next w:val="Normal"/>
    <w:autoRedefine/>
    <w:uiPriority w:val="39"/>
    <w:unhideWhenUsed/>
    <w:rsid w:val="003D5DEB"/>
    <w:pPr>
      <w:tabs>
        <w:tab w:val="right" w:leader="dot" w:pos="9062"/>
      </w:tabs>
      <w:spacing w:after="100"/>
      <w:ind w:left="1418"/>
    </w:pPr>
  </w:style>
  <w:style w:type="paragraph" w:styleId="TM3">
    <w:name w:val="toc 3"/>
    <w:basedOn w:val="Normal"/>
    <w:next w:val="Normal"/>
    <w:autoRedefine/>
    <w:uiPriority w:val="39"/>
    <w:unhideWhenUsed/>
    <w:rsid w:val="003D5DEB"/>
    <w:pPr>
      <w:spacing w:after="100"/>
      <w:ind w:left="360"/>
    </w:pPr>
  </w:style>
  <w:style w:type="character" w:styleId="Lienhypertextesuivivisit">
    <w:name w:val="FollowedHyperlink"/>
    <w:basedOn w:val="Policepardfaut"/>
    <w:uiPriority w:val="99"/>
    <w:semiHidden/>
    <w:unhideWhenUsed/>
    <w:rsid w:val="00E514F6"/>
    <w:rPr>
      <w:color w:val="800080" w:themeColor="followedHyperlink"/>
      <w:u w:val="single"/>
    </w:rPr>
  </w:style>
  <w:style w:type="character" w:customStyle="1" w:styleId="apple-converted-space">
    <w:name w:val="apple-converted-space"/>
    <w:basedOn w:val="Policepardfaut"/>
    <w:rsid w:val="00F15599"/>
  </w:style>
  <w:style w:type="paragraph" w:styleId="NormalWeb">
    <w:name w:val="Normal (Web)"/>
    <w:basedOn w:val="Normal"/>
    <w:uiPriority w:val="99"/>
    <w:unhideWhenUsed/>
    <w:rsid w:val="00C16709"/>
    <w:pPr>
      <w:spacing w:before="100" w:beforeAutospacing="1" w:after="100" w:afterAutospacing="1" w:line="240" w:lineRule="auto"/>
      <w:jc w:val="left"/>
    </w:pPr>
    <w:rPr>
      <w:rFonts w:ascii="Times New Roman" w:hAnsi="Times New Roman"/>
      <w:color w:val="auto"/>
      <w:sz w:val="24"/>
      <w:szCs w:val="24"/>
      <w:lang w:eastAsia="fr-FR" w:bidi="ar-SA"/>
    </w:rPr>
  </w:style>
  <w:style w:type="character" w:styleId="Marquedecommentaire">
    <w:name w:val="annotation reference"/>
    <w:basedOn w:val="Policepardfaut"/>
    <w:uiPriority w:val="99"/>
    <w:semiHidden/>
    <w:unhideWhenUsed/>
    <w:rsid w:val="00277C41"/>
    <w:rPr>
      <w:sz w:val="16"/>
      <w:szCs w:val="16"/>
    </w:rPr>
  </w:style>
  <w:style w:type="paragraph" w:styleId="Commentaire">
    <w:name w:val="annotation text"/>
    <w:basedOn w:val="Normal"/>
    <w:link w:val="CommentaireCar"/>
    <w:uiPriority w:val="99"/>
    <w:semiHidden/>
    <w:unhideWhenUsed/>
    <w:rsid w:val="00277C41"/>
    <w:pPr>
      <w:spacing w:line="240" w:lineRule="auto"/>
    </w:pPr>
    <w:rPr>
      <w:sz w:val="20"/>
    </w:rPr>
  </w:style>
  <w:style w:type="character" w:customStyle="1" w:styleId="CommentaireCar">
    <w:name w:val="Commentaire Car"/>
    <w:basedOn w:val="Policepardfaut"/>
    <w:link w:val="Commentaire"/>
    <w:uiPriority w:val="99"/>
    <w:semiHidden/>
    <w:rsid w:val="00277C41"/>
    <w:rPr>
      <w:rFonts w:ascii="Georgia" w:eastAsia="Times New Roman" w:hAnsi="Georgia" w:cs="Times New Roman"/>
      <w:color w:val="000000" w:themeColor="text1"/>
      <w:sz w:val="20"/>
      <w:szCs w:val="20"/>
      <w:lang w:bidi="en-US"/>
    </w:rPr>
  </w:style>
  <w:style w:type="paragraph" w:styleId="Objetducommentaire">
    <w:name w:val="annotation subject"/>
    <w:basedOn w:val="Commentaire"/>
    <w:next w:val="Commentaire"/>
    <w:link w:val="ObjetducommentaireCar"/>
    <w:uiPriority w:val="99"/>
    <w:semiHidden/>
    <w:unhideWhenUsed/>
    <w:rsid w:val="00277C41"/>
    <w:rPr>
      <w:b/>
      <w:bCs/>
    </w:rPr>
  </w:style>
  <w:style w:type="character" w:customStyle="1" w:styleId="ObjetducommentaireCar">
    <w:name w:val="Objet du commentaire Car"/>
    <w:basedOn w:val="CommentaireCar"/>
    <w:link w:val="Objetducommentaire"/>
    <w:uiPriority w:val="99"/>
    <w:semiHidden/>
    <w:rsid w:val="00277C41"/>
    <w:rPr>
      <w:rFonts w:ascii="Georgia" w:eastAsia="Times New Roman" w:hAnsi="Georgia" w:cs="Times New Roman"/>
      <w:b/>
      <w:bCs/>
      <w:color w:val="000000" w:themeColor="text1"/>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47195">
      <w:bodyDiv w:val="1"/>
      <w:marLeft w:val="0"/>
      <w:marRight w:val="0"/>
      <w:marTop w:val="0"/>
      <w:marBottom w:val="0"/>
      <w:divBdr>
        <w:top w:val="none" w:sz="0" w:space="0" w:color="auto"/>
        <w:left w:val="none" w:sz="0" w:space="0" w:color="auto"/>
        <w:bottom w:val="none" w:sz="0" w:space="0" w:color="auto"/>
        <w:right w:val="none" w:sz="0" w:space="0" w:color="auto"/>
      </w:divBdr>
    </w:div>
    <w:div w:id="189535589">
      <w:bodyDiv w:val="1"/>
      <w:marLeft w:val="0"/>
      <w:marRight w:val="0"/>
      <w:marTop w:val="0"/>
      <w:marBottom w:val="0"/>
      <w:divBdr>
        <w:top w:val="none" w:sz="0" w:space="0" w:color="auto"/>
        <w:left w:val="none" w:sz="0" w:space="0" w:color="auto"/>
        <w:bottom w:val="none" w:sz="0" w:space="0" w:color="auto"/>
        <w:right w:val="none" w:sz="0" w:space="0" w:color="auto"/>
      </w:divBdr>
    </w:div>
    <w:div w:id="245236372">
      <w:bodyDiv w:val="1"/>
      <w:marLeft w:val="0"/>
      <w:marRight w:val="0"/>
      <w:marTop w:val="0"/>
      <w:marBottom w:val="0"/>
      <w:divBdr>
        <w:top w:val="none" w:sz="0" w:space="0" w:color="auto"/>
        <w:left w:val="none" w:sz="0" w:space="0" w:color="auto"/>
        <w:bottom w:val="none" w:sz="0" w:space="0" w:color="auto"/>
        <w:right w:val="none" w:sz="0" w:space="0" w:color="auto"/>
      </w:divBdr>
    </w:div>
    <w:div w:id="700787256">
      <w:bodyDiv w:val="1"/>
      <w:marLeft w:val="0"/>
      <w:marRight w:val="0"/>
      <w:marTop w:val="0"/>
      <w:marBottom w:val="0"/>
      <w:divBdr>
        <w:top w:val="none" w:sz="0" w:space="0" w:color="auto"/>
        <w:left w:val="none" w:sz="0" w:space="0" w:color="auto"/>
        <w:bottom w:val="none" w:sz="0" w:space="0" w:color="auto"/>
        <w:right w:val="none" w:sz="0" w:space="0" w:color="auto"/>
      </w:divBdr>
    </w:div>
    <w:div w:id="1253050550">
      <w:bodyDiv w:val="1"/>
      <w:marLeft w:val="0"/>
      <w:marRight w:val="0"/>
      <w:marTop w:val="0"/>
      <w:marBottom w:val="0"/>
      <w:divBdr>
        <w:top w:val="none" w:sz="0" w:space="0" w:color="auto"/>
        <w:left w:val="none" w:sz="0" w:space="0" w:color="auto"/>
        <w:bottom w:val="none" w:sz="0" w:space="0" w:color="auto"/>
        <w:right w:val="none" w:sz="0" w:space="0" w:color="auto"/>
      </w:divBdr>
    </w:div>
    <w:div w:id="1255938722">
      <w:bodyDiv w:val="1"/>
      <w:marLeft w:val="0"/>
      <w:marRight w:val="0"/>
      <w:marTop w:val="0"/>
      <w:marBottom w:val="0"/>
      <w:divBdr>
        <w:top w:val="none" w:sz="0" w:space="0" w:color="auto"/>
        <w:left w:val="none" w:sz="0" w:space="0" w:color="auto"/>
        <w:bottom w:val="none" w:sz="0" w:space="0" w:color="auto"/>
        <w:right w:val="none" w:sz="0" w:space="0" w:color="auto"/>
      </w:divBdr>
    </w:div>
    <w:div w:id="1376782506">
      <w:bodyDiv w:val="1"/>
      <w:marLeft w:val="0"/>
      <w:marRight w:val="0"/>
      <w:marTop w:val="0"/>
      <w:marBottom w:val="0"/>
      <w:divBdr>
        <w:top w:val="none" w:sz="0" w:space="0" w:color="auto"/>
        <w:left w:val="none" w:sz="0" w:space="0" w:color="auto"/>
        <w:bottom w:val="none" w:sz="0" w:space="0" w:color="auto"/>
        <w:right w:val="none" w:sz="0" w:space="0" w:color="auto"/>
      </w:divBdr>
    </w:div>
    <w:div w:id="141042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comade.org/actions/transfert-des-competences-eau-et-assainissement" TargetMode="External"/><Relationship Id="rId13" Type="http://schemas.openxmlformats.org/officeDocument/2006/relationships/hyperlink" Target="http://www.graie.org/graie/graiedoc/doc_telech/Graie-CompetenceGestionEauxPluvialesUrbaines-OuvragesMissions-mai19.pdf"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raie.org/graie/graiedoc/doc_telech/Graie-CompetenceGestionEauxPluvialesUrbaines-OuvragesMissions-mai19.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ie.org/graie/graiedoc/doc_telech/CCTP_type_EtudeTransfertAERMC_GTGraie_VF.pdf" TargetMode="External"/><Relationship Id="rId5" Type="http://schemas.openxmlformats.org/officeDocument/2006/relationships/webSettings" Target="webSettings.xml"/><Relationship Id="rId15" Type="http://schemas.openxmlformats.org/officeDocument/2006/relationships/hyperlink" Target="http://www.graie.org/portail/outils-et-supports-pedagogiques-pour-une-gestion-integree-des-eaux-pluviale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raie.org/graie/graiedoc/doc_telech/CCTP_type_EtudeTransfertAERMC_GTGraie_VF.pdf" TargetMode="External"/><Relationship Id="rId14" Type="http://schemas.openxmlformats.org/officeDocument/2006/relationships/hyperlink" Target="http://www.graie.org/portail/outils-et-supports-pedagogiques-pour-une-gestion-integree-des-eaux-pluvial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E219F-423F-4927-96FE-619EF593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950</Words>
  <Characters>5227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Elodie SANCHEZ-COLLET</cp:lastModifiedBy>
  <cp:revision>4</cp:revision>
  <cp:lastPrinted>2018-07-27T09:50:00Z</cp:lastPrinted>
  <dcterms:created xsi:type="dcterms:W3CDTF">2020-06-12T14:48:00Z</dcterms:created>
  <dcterms:modified xsi:type="dcterms:W3CDTF">2020-06-15T15:03:00Z</dcterms:modified>
</cp:coreProperties>
</file>